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3892" w:type="dxa"/>
        <w:tblInd w:w="-329"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thinThickSmallGap" w:sz="24" w:space="0" w:color="auto"/>
        </w:tblBorders>
        <w:tblLook w:val="01E0" w:firstRow="1" w:lastRow="1" w:firstColumn="1" w:lastColumn="1" w:noHBand="0" w:noVBand="0"/>
      </w:tblPr>
      <w:tblGrid>
        <w:gridCol w:w="2978"/>
        <w:gridCol w:w="10914"/>
      </w:tblGrid>
      <w:tr w:rsidR="00487368" w:rsidRPr="009C7DF1" w:rsidTr="00F30D30">
        <w:trPr>
          <w:trHeight w:val="817"/>
        </w:trPr>
        <w:tc>
          <w:tcPr>
            <w:tcW w:w="13892" w:type="dxa"/>
            <w:gridSpan w:val="2"/>
            <w:shd w:val="clear" w:color="auto" w:fill="auto"/>
          </w:tcPr>
          <w:p w:rsidR="00487368" w:rsidRPr="009C7DF1" w:rsidRDefault="00487368" w:rsidP="00C176A4">
            <w:pPr>
              <w:tabs>
                <w:tab w:val="left" w:pos="3832"/>
              </w:tabs>
              <w:jc w:val="center"/>
              <w:rPr>
                <w:b/>
              </w:rPr>
            </w:pPr>
            <w:r w:rsidRPr="009C7DF1">
              <w:rPr>
                <w:b/>
              </w:rPr>
              <w:t>OBRAZAC</w:t>
            </w:r>
          </w:p>
          <w:p w:rsidR="00487368" w:rsidRPr="009C7DF1" w:rsidRDefault="00485374" w:rsidP="00C176A4">
            <w:pPr>
              <w:jc w:val="center"/>
              <w:rPr>
                <w:b/>
              </w:rPr>
            </w:pPr>
            <w:r w:rsidRPr="009C7DF1">
              <w:rPr>
                <w:b/>
              </w:rPr>
              <w:t>i</w:t>
            </w:r>
            <w:r w:rsidR="00487368" w:rsidRPr="009C7DF1">
              <w:rPr>
                <w:b/>
              </w:rPr>
              <w:t>zvješća</w:t>
            </w:r>
            <w:r w:rsidR="009A5822" w:rsidRPr="009C7DF1">
              <w:rPr>
                <w:b/>
              </w:rPr>
              <w:t xml:space="preserve"> o provedenom savjetovanju s </w:t>
            </w:r>
            <w:r w:rsidR="00487368" w:rsidRPr="009C7DF1">
              <w:rPr>
                <w:b/>
              </w:rPr>
              <w:t>javnošću</w:t>
            </w:r>
          </w:p>
          <w:p w:rsidR="00487368" w:rsidRPr="009C7DF1" w:rsidRDefault="00487368" w:rsidP="00487368"/>
        </w:tc>
      </w:tr>
      <w:tr w:rsidR="00487368" w:rsidRPr="009C7DF1" w:rsidTr="00F30D30">
        <w:trPr>
          <w:trHeight w:val="500"/>
        </w:trPr>
        <w:tc>
          <w:tcPr>
            <w:tcW w:w="2978" w:type="dxa"/>
            <w:tcBorders>
              <w:right w:val="single" w:sz="4" w:space="0" w:color="auto"/>
            </w:tcBorders>
            <w:shd w:val="clear" w:color="auto" w:fill="auto"/>
            <w:vAlign w:val="center"/>
          </w:tcPr>
          <w:p w:rsidR="00487368" w:rsidRPr="009C7DF1" w:rsidRDefault="00487368" w:rsidP="00487368">
            <w:pPr>
              <w:rPr>
                <w:b/>
              </w:rPr>
            </w:pPr>
            <w:r w:rsidRPr="009C7DF1">
              <w:rPr>
                <w:b/>
              </w:rPr>
              <w:t xml:space="preserve">Naziv nacrta odluke ili drugog općeg akta o kojem je savjetovanje provedeno </w:t>
            </w:r>
          </w:p>
        </w:tc>
        <w:tc>
          <w:tcPr>
            <w:tcW w:w="10914" w:type="dxa"/>
            <w:tcBorders>
              <w:left w:val="single" w:sz="4" w:space="0" w:color="auto"/>
            </w:tcBorders>
            <w:shd w:val="clear" w:color="auto" w:fill="auto"/>
            <w:vAlign w:val="center"/>
          </w:tcPr>
          <w:p w:rsidR="00487368" w:rsidRDefault="00AC297B" w:rsidP="00C176A4">
            <w:pPr>
              <w:jc w:val="both"/>
              <w:rPr>
                <w:bCs/>
              </w:rPr>
            </w:pPr>
            <w:r>
              <w:rPr>
                <w:bCs/>
                <w:color w:val="000000"/>
              </w:rPr>
              <w:t xml:space="preserve">Pravilnik o izmjenama i dopuni </w:t>
            </w:r>
            <w:r w:rsidRPr="000E5FA3">
              <w:rPr>
                <w:bCs/>
                <w:color w:val="000000"/>
              </w:rPr>
              <w:t xml:space="preserve">Pravilnika </w:t>
            </w:r>
            <w:r w:rsidRPr="000E5FA3">
              <w:rPr>
                <w:bCs/>
              </w:rPr>
              <w:t xml:space="preserve">o kriterijima za određivanje zakupnina i naknada za korištenje površine javne namjene </w:t>
            </w:r>
            <w:bookmarkStart w:id="0" w:name="_Hlk103925669"/>
            <w:r w:rsidRPr="000E5FA3">
              <w:rPr>
                <w:bCs/>
              </w:rPr>
              <w:t>za postavljanje kioska, pokretnih naprava, privremenih građevina, građevina i uređaja javne namjene, organiziranje manifestacija i snimanja</w:t>
            </w:r>
            <w:bookmarkEnd w:id="0"/>
          </w:p>
          <w:p w:rsidR="00AC297B" w:rsidRPr="009C7DF1" w:rsidRDefault="00AC297B" w:rsidP="00C176A4">
            <w:pPr>
              <w:jc w:val="both"/>
              <w:rPr>
                <w:b/>
              </w:rPr>
            </w:pPr>
          </w:p>
        </w:tc>
      </w:tr>
      <w:tr w:rsidR="00487368" w:rsidRPr="009C7DF1" w:rsidTr="00F30D30">
        <w:trPr>
          <w:trHeight w:val="932"/>
        </w:trPr>
        <w:tc>
          <w:tcPr>
            <w:tcW w:w="2978" w:type="dxa"/>
            <w:tcBorders>
              <w:right w:val="single" w:sz="4" w:space="0" w:color="auto"/>
            </w:tcBorders>
            <w:shd w:val="clear" w:color="auto" w:fill="auto"/>
            <w:vAlign w:val="center"/>
          </w:tcPr>
          <w:p w:rsidR="00487368" w:rsidRPr="009C7DF1" w:rsidRDefault="00487368" w:rsidP="00487368">
            <w:pPr>
              <w:rPr>
                <w:b/>
              </w:rPr>
            </w:pPr>
            <w:r w:rsidRPr="009C7DF1">
              <w:rPr>
                <w:b/>
              </w:rPr>
              <w:t>Nositelj izrade nacrta akta (gradsko upravno tijelo koje je provelo savjetovanje)</w:t>
            </w:r>
          </w:p>
        </w:tc>
        <w:tc>
          <w:tcPr>
            <w:tcW w:w="10914" w:type="dxa"/>
            <w:tcBorders>
              <w:left w:val="single" w:sz="4" w:space="0" w:color="auto"/>
            </w:tcBorders>
            <w:shd w:val="clear" w:color="auto" w:fill="auto"/>
            <w:vAlign w:val="center"/>
          </w:tcPr>
          <w:p w:rsidR="00423E43" w:rsidRPr="009C7DF1" w:rsidRDefault="00423E43" w:rsidP="00423E43">
            <w:pPr>
              <w:jc w:val="both"/>
              <w:rPr>
                <w:rFonts w:eastAsia="Calibri"/>
                <w:lang w:eastAsia="en-US"/>
              </w:rPr>
            </w:pPr>
            <w:r w:rsidRPr="009C7DF1">
              <w:rPr>
                <w:rFonts w:eastAsia="Calibri"/>
                <w:lang w:eastAsia="en-US"/>
              </w:rPr>
              <w:t xml:space="preserve">Gradski ured za </w:t>
            </w:r>
            <w:r w:rsidR="00314004" w:rsidRPr="009C7DF1">
              <w:rPr>
                <w:rFonts w:eastAsia="Calibri"/>
                <w:lang w:eastAsia="en-US"/>
              </w:rPr>
              <w:t xml:space="preserve">obnovu, izgradnju, </w:t>
            </w:r>
            <w:r w:rsidRPr="009C7DF1">
              <w:rPr>
                <w:rFonts w:eastAsia="Calibri"/>
                <w:lang w:eastAsia="en-US"/>
              </w:rPr>
              <w:t>prostorno uređenje, graditeljstvo, komunalne poslove i promet</w:t>
            </w:r>
          </w:p>
          <w:p w:rsidR="00423E43" w:rsidRPr="009C7DF1" w:rsidRDefault="00423E43" w:rsidP="00423E43">
            <w:pPr>
              <w:ind w:left="705"/>
              <w:jc w:val="both"/>
              <w:rPr>
                <w:rFonts w:eastAsia="Calibri"/>
                <w:lang w:eastAsia="en-US"/>
              </w:rPr>
            </w:pPr>
          </w:p>
          <w:p w:rsidR="00487368" w:rsidRPr="009C7DF1" w:rsidRDefault="00487368" w:rsidP="00C176A4">
            <w:pPr>
              <w:jc w:val="both"/>
              <w:rPr>
                <w:b/>
              </w:rPr>
            </w:pPr>
          </w:p>
        </w:tc>
      </w:tr>
      <w:tr w:rsidR="00487368" w:rsidRPr="009C7DF1" w:rsidTr="00F30D30">
        <w:trPr>
          <w:trHeight w:val="561"/>
        </w:trPr>
        <w:tc>
          <w:tcPr>
            <w:tcW w:w="2978" w:type="dxa"/>
            <w:tcBorders>
              <w:right w:val="single" w:sz="4" w:space="0" w:color="auto"/>
            </w:tcBorders>
            <w:shd w:val="clear" w:color="auto" w:fill="auto"/>
            <w:vAlign w:val="center"/>
          </w:tcPr>
          <w:p w:rsidR="00487368" w:rsidRPr="009C7DF1" w:rsidRDefault="00487368" w:rsidP="00314004">
            <w:pPr>
              <w:rPr>
                <w:b/>
              </w:rPr>
            </w:pPr>
            <w:r w:rsidRPr="009C7DF1">
              <w:rPr>
                <w:b/>
              </w:rPr>
              <w:t>Vrijeme trajanja savjetovanja</w:t>
            </w:r>
          </w:p>
        </w:tc>
        <w:tc>
          <w:tcPr>
            <w:tcW w:w="10914" w:type="dxa"/>
            <w:tcBorders>
              <w:left w:val="single" w:sz="4" w:space="0" w:color="auto"/>
            </w:tcBorders>
            <w:shd w:val="clear" w:color="auto" w:fill="auto"/>
            <w:vAlign w:val="center"/>
          </w:tcPr>
          <w:p w:rsidR="00487368" w:rsidRPr="00AC297B" w:rsidRDefault="003F0528" w:rsidP="00C176A4">
            <w:pPr>
              <w:jc w:val="both"/>
            </w:pPr>
            <w:r>
              <w:t>1</w:t>
            </w:r>
            <w:r w:rsidR="00FC4320">
              <w:t>7</w:t>
            </w:r>
            <w:bookmarkStart w:id="1" w:name="_GoBack"/>
            <w:bookmarkEnd w:id="1"/>
            <w:r w:rsidR="00AC297B" w:rsidRPr="00AC297B">
              <w:t xml:space="preserve">.10. – </w:t>
            </w:r>
            <w:r>
              <w:t>16.</w:t>
            </w:r>
            <w:r w:rsidR="00AC297B" w:rsidRPr="00AC297B">
              <w:t>11.2022.</w:t>
            </w:r>
          </w:p>
        </w:tc>
      </w:tr>
      <w:tr w:rsidR="00487368" w:rsidRPr="009C7DF1" w:rsidTr="00F30D30">
        <w:trPr>
          <w:trHeight w:val="561"/>
        </w:trPr>
        <w:tc>
          <w:tcPr>
            <w:tcW w:w="2978" w:type="dxa"/>
            <w:tcBorders>
              <w:right w:val="single" w:sz="4" w:space="0" w:color="auto"/>
            </w:tcBorders>
            <w:shd w:val="clear" w:color="auto" w:fill="auto"/>
            <w:vAlign w:val="center"/>
          </w:tcPr>
          <w:p w:rsidR="00487368" w:rsidRPr="009C7DF1" w:rsidRDefault="00487368" w:rsidP="00C176A4">
            <w:pPr>
              <w:jc w:val="both"/>
              <w:rPr>
                <w:b/>
              </w:rPr>
            </w:pPr>
            <w:r w:rsidRPr="009C7DF1">
              <w:rPr>
                <w:b/>
              </w:rPr>
              <w:t xml:space="preserve">Metoda savjetovanja </w:t>
            </w:r>
          </w:p>
        </w:tc>
        <w:tc>
          <w:tcPr>
            <w:tcW w:w="10914" w:type="dxa"/>
            <w:tcBorders>
              <w:left w:val="single" w:sz="4" w:space="0" w:color="auto"/>
            </w:tcBorders>
            <w:shd w:val="clear" w:color="auto" w:fill="auto"/>
            <w:vAlign w:val="center"/>
          </w:tcPr>
          <w:p w:rsidR="00487368" w:rsidRPr="009C7DF1" w:rsidRDefault="00423E43" w:rsidP="00C176A4">
            <w:pPr>
              <w:jc w:val="both"/>
            </w:pPr>
            <w:r w:rsidRPr="009C7DF1">
              <w:t>Internetsko savjetovanje</w:t>
            </w:r>
          </w:p>
        </w:tc>
      </w:tr>
    </w:tbl>
    <w:p w:rsidR="00487368" w:rsidRDefault="00487368" w:rsidP="00487368"/>
    <w:p w:rsidR="001E6D9D" w:rsidRPr="009C7DF1" w:rsidRDefault="001E6D9D" w:rsidP="00487368"/>
    <w:tbl>
      <w:tblPr>
        <w:tblW w:w="13892"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559"/>
        <w:gridCol w:w="1417"/>
        <w:gridCol w:w="6379"/>
        <w:gridCol w:w="3827"/>
      </w:tblGrid>
      <w:tr w:rsidR="00487368" w:rsidRPr="009C7DF1" w:rsidTr="00F30D30">
        <w:tc>
          <w:tcPr>
            <w:tcW w:w="710" w:type="dxa"/>
            <w:tcBorders>
              <w:top w:val="thinThickSmallGap" w:sz="24" w:space="0" w:color="auto"/>
              <w:left w:val="thinThickSmallGap" w:sz="24" w:space="0" w:color="auto"/>
              <w:bottom w:val="thinThickSmallGap" w:sz="24" w:space="0" w:color="auto"/>
            </w:tcBorders>
            <w:shd w:val="clear" w:color="auto" w:fill="auto"/>
            <w:vAlign w:val="center"/>
          </w:tcPr>
          <w:p w:rsidR="00487368" w:rsidRPr="009C7DF1" w:rsidRDefault="00487368" w:rsidP="00C176A4">
            <w:pPr>
              <w:jc w:val="center"/>
            </w:pPr>
            <w:r w:rsidRPr="009C7DF1">
              <w:t>Red. br.</w:t>
            </w:r>
          </w:p>
        </w:tc>
        <w:tc>
          <w:tcPr>
            <w:tcW w:w="1559" w:type="dxa"/>
            <w:tcBorders>
              <w:top w:val="thinThickSmallGap" w:sz="24" w:space="0" w:color="auto"/>
              <w:bottom w:val="thinThickSmallGap" w:sz="24" w:space="0" w:color="auto"/>
            </w:tcBorders>
            <w:shd w:val="clear" w:color="auto" w:fill="auto"/>
            <w:vAlign w:val="center"/>
          </w:tcPr>
          <w:p w:rsidR="00487368" w:rsidRPr="009C7DF1" w:rsidRDefault="00487368" w:rsidP="00C176A4">
            <w:pPr>
              <w:jc w:val="center"/>
            </w:pPr>
            <w:r w:rsidRPr="009C7DF1">
              <w:t>Predstavnici  javnosti (pojedinac, organizacija, institucija)</w:t>
            </w:r>
          </w:p>
        </w:tc>
        <w:tc>
          <w:tcPr>
            <w:tcW w:w="1417" w:type="dxa"/>
            <w:tcBorders>
              <w:top w:val="thinThickSmallGap" w:sz="24" w:space="0" w:color="auto"/>
              <w:bottom w:val="thinThickSmallGap" w:sz="24" w:space="0" w:color="auto"/>
            </w:tcBorders>
            <w:shd w:val="clear" w:color="auto" w:fill="auto"/>
            <w:vAlign w:val="center"/>
          </w:tcPr>
          <w:p w:rsidR="00487368" w:rsidRPr="009C7DF1" w:rsidRDefault="00487368" w:rsidP="00C176A4">
            <w:pPr>
              <w:jc w:val="center"/>
            </w:pPr>
            <w:r w:rsidRPr="009C7DF1">
              <w:t>Članak na koji se odnosi primjedba/</w:t>
            </w:r>
          </w:p>
          <w:p w:rsidR="00487368" w:rsidRPr="009C7DF1" w:rsidRDefault="00487368" w:rsidP="00C176A4">
            <w:pPr>
              <w:jc w:val="center"/>
            </w:pPr>
            <w:r w:rsidRPr="009C7DF1">
              <w:t>prijedlog</w:t>
            </w:r>
          </w:p>
        </w:tc>
        <w:tc>
          <w:tcPr>
            <w:tcW w:w="6379" w:type="dxa"/>
            <w:tcBorders>
              <w:top w:val="thinThickSmallGap" w:sz="24" w:space="0" w:color="auto"/>
              <w:bottom w:val="thinThickSmallGap" w:sz="24" w:space="0" w:color="auto"/>
            </w:tcBorders>
            <w:shd w:val="clear" w:color="auto" w:fill="auto"/>
            <w:vAlign w:val="center"/>
          </w:tcPr>
          <w:p w:rsidR="00487368" w:rsidRPr="009C7DF1" w:rsidRDefault="00487368" w:rsidP="00C176A4">
            <w:pPr>
              <w:jc w:val="center"/>
            </w:pPr>
            <w:r w:rsidRPr="009C7DF1">
              <w:t>Tekst primjedbe/</w:t>
            </w:r>
          </w:p>
          <w:p w:rsidR="00487368" w:rsidRPr="009C7DF1" w:rsidRDefault="00487368" w:rsidP="00C176A4">
            <w:pPr>
              <w:jc w:val="center"/>
            </w:pPr>
            <w:r w:rsidRPr="009C7DF1">
              <w:t>prijedloga</w:t>
            </w:r>
          </w:p>
        </w:tc>
        <w:tc>
          <w:tcPr>
            <w:tcW w:w="3827" w:type="dxa"/>
            <w:tcBorders>
              <w:top w:val="thinThickSmallGap" w:sz="24" w:space="0" w:color="auto"/>
              <w:bottom w:val="thinThickSmallGap" w:sz="24" w:space="0" w:color="auto"/>
              <w:right w:val="thinThickSmallGap" w:sz="24" w:space="0" w:color="auto"/>
            </w:tcBorders>
            <w:shd w:val="clear" w:color="auto" w:fill="auto"/>
            <w:vAlign w:val="center"/>
          </w:tcPr>
          <w:p w:rsidR="00487368" w:rsidRPr="009C7DF1" w:rsidRDefault="00487368" w:rsidP="00C176A4">
            <w:pPr>
              <w:jc w:val="center"/>
            </w:pPr>
            <w:r w:rsidRPr="009C7DF1">
              <w:t>Prihvaćanje/ neprihvaćanje primjedbe/ prijedloga sa obrazloženjem</w:t>
            </w:r>
          </w:p>
        </w:tc>
      </w:tr>
      <w:tr w:rsidR="0001640F" w:rsidRPr="009C7DF1" w:rsidTr="00F30D30">
        <w:trPr>
          <w:trHeight w:val="1887"/>
        </w:trPr>
        <w:tc>
          <w:tcPr>
            <w:tcW w:w="710" w:type="dxa"/>
            <w:tcBorders>
              <w:top w:val="thinThickSmallGap" w:sz="24" w:space="0" w:color="auto"/>
              <w:left w:val="thinThickSmallGap" w:sz="24" w:space="0" w:color="auto"/>
              <w:bottom w:val="thinThickSmallGap" w:sz="24" w:space="0" w:color="auto"/>
            </w:tcBorders>
            <w:shd w:val="clear" w:color="auto" w:fill="auto"/>
            <w:vAlign w:val="center"/>
          </w:tcPr>
          <w:p w:rsidR="0001640F" w:rsidRPr="009C7DF1" w:rsidRDefault="0001640F" w:rsidP="00C176A4">
            <w:pPr>
              <w:jc w:val="center"/>
            </w:pPr>
            <w:r>
              <w:t>1.</w:t>
            </w:r>
          </w:p>
        </w:tc>
        <w:tc>
          <w:tcPr>
            <w:tcW w:w="1559" w:type="dxa"/>
            <w:tcBorders>
              <w:top w:val="thinThickSmallGap" w:sz="24" w:space="0" w:color="auto"/>
              <w:bottom w:val="thinThickSmallGap" w:sz="24" w:space="0" w:color="auto"/>
            </w:tcBorders>
            <w:shd w:val="clear" w:color="auto" w:fill="auto"/>
            <w:vAlign w:val="center"/>
          </w:tcPr>
          <w:p w:rsidR="0001640F" w:rsidRDefault="002224BE" w:rsidP="00AC297B">
            <w:r>
              <w:t>L.N.</w:t>
            </w:r>
          </w:p>
          <w:p w:rsidR="002224BE" w:rsidRPr="009C7DF1" w:rsidRDefault="002224BE" w:rsidP="00AC297B">
            <w:r>
              <w:t xml:space="preserve">u ime </w:t>
            </w:r>
            <w:r w:rsidRPr="002224BE">
              <w:t>Vijeća Mjesnog odbora Trnjanska Savica, sukladno donesenom zaključku</w:t>
            </w:r>
          </w:p>
        </w:tc>
        <w:tc>
          <w:tcPr>
            <w:tcW w:w="1417" w:type="dxa"/>
            <w:tcBorders>
              <w:top w:val="thinThickSmallGap" w:sz="24" w:space="0" w:color="auto"/>
              <w:bottom w:val="thinThickSmallGap" w:sz="24" w:space="0" w:color="auto"/>
            </w:tcBorders>
            <w:shd w:val="clear" w:color="auto" w:fill="auto"/>
            <w:vAlign w:val="center"/>
          </w:tcPr>
          <w:p w:rsidR="002224BE" w:rsidRDefault="002224BE" w:rsidP="002224BE">
            <w:r w:rsidRPr="001A201B">
              <w:rPr>
                <w:b/>
              </w:rPr>
              <w:t>Članak 17.</w:t>
            </w:r>
          </w:p>
          <w:p w:rsidR="002224BE" w:rsidRDefault="002224BE" w:rsidP="002224BE">
            <w:r w:rsidRPr="001A201B">
              <w:rPr>
                <w:b/>
                <w:lang w:eastAsia="en-US"/>
              </w:rPr>
              <w:t>Prilog 2., točka VI.</w:t>
            </w:r>
          </w:p>
          <w:p w:rsidR="0001640F" w:rsidRPr="009C7DF1" w:rsidRDefault="0001640F" w:rsidP="00C176A4">
            <w:pPr>
              <w:jc w:val="center"/>
            </w:pPr>
          </w:p>
        </w:tc>
        <w:tc>
          <w:tcPr>
            <w:tcW w:w="6379" w:type="dxa"/>
            <w:tcBorders>
              <w:top w:val="thinThickSmallGap" w:sz="24" w:space="0" w:color="auto"/>
              <w:bottom w:val="thinThickSmallGap" w:sz="24" w:space="0" w:color="auto"/>
            </w:tcBorders>
            <w:shd w:val="clear" w:color="auto" w:fill="auto"/>
            <w:vAlign w:val="center"/>
          </w:tcPr>
          <w:p w:rsidR="002224BE" w:rsidRDefault="002224BE" w:rsidP="002224BE">
            <w:pPr>
              <w:rPr>
                <w:lang w:eastAsia="en-US"/>
              </w:rPr>
            </w:pPr>
            <w:r w:rsidRPr="001A201B">
              <w:rPr>
                <w:b/>
              </w:rPr>
              <w:t>Članak 17.</w:t>
            </w:r>
            <w:r w:rsidRPr="001A201B">
              <w:rPr>
                <w:b/>
              </w:rPr>
              <w:br/>
            </w:r>
            <w:r>
              <w:rPr>
                <w:lang w:eastAsia="en-US"/>
              </w:rPr>
              <w:t>Obzirom da veličina postavljenih telekomunikacijskih ormara jako varira, potrebno je obračunavati cijenu najma uzimajući u obzir i njihovu visinu (primjerice obračunavati prema volumenu) ili kapacitet (primjerice obračunavati po najvećem mogućem broju priključnih mjesta unutar ormara) ili na neki drugi prikladan način.</w:t>
            </w:r>
          </w:p>
          <w:p w:rsidR="0001640F" w:rsidRDefault="002224BE" w:rsidP="002224BE">
            <w:pPr>
              <w:rPr>
                <w:lang w:eastAsia="en-US"/>
              </w:rPr>
            </w:pPr>
            <w:r w:rsidRPr="001A201B">
              <w:rPr>
                <w:b/>
                <w:lang w:eastAsia="en-US"/>
              </w:rPr>
              <w:t>Prilog 2., točka VI.</w:t>
            </w:r>
            <w:r w:rsidRPr="001A201B">
              <w:rPr>
                <w:b/>
                <w:lang w:eastAsia="en-US"/>
              </w:rPr>
              <w:br/>
            </w:r>
            <w:r>
              <w:rPr>
                <w:lang w:eastAsia="en-US"/>
              </w:rPr>
              <w:t xml:space="preserve">Preispitati jediničnu cijenu naknade kako zbog svoje relativno male vrijednosti ne bi poticala </w:t>
            </w:r>
            <w:proofErr w:type="spellStart"/>
            <w:r>
              <w:rPr>
                <w:lang w:eastAsia="en-US"/>
              </w:rPr>
              <w:t>teleoperatere</w:t>
            </w:r>
            <w:proofErr w:type="spellEnd"/>
            <w:r>
              <w:rPr>
                <w:lang w:eastAsia="en-US"/>
              </w:rPr>
              <w:t xml:space="preserve"> na neracionalno zauzimanje javnih površina.</w:t>
            </w:r>
          </w:p>
          <w:p w:rsidR="002224BE" w:rsidRPr="009C7DF1" w:rsidRDefault="002224BE" w:rsidP="002224BE"/>
        </w:tc>
        <w:tc>
          <w:tcPr>
            <w:tcW w:w="3827" w:type="dxa"/>
            <w:tcBorders>
              <w:top w:val="thinThickSmallGap" w:sz="24" w:space="0" w:color="auto"/>
              <w:bottom w:val="thinThickSmallGap" w:sz="24" w:space="0" w:color="auto"/>
              <w:right w:val="thinThickSmallGap" w:sz="24" w:space="0" w:color="auto"/>
            </w:tcBorders>
            <w:shd w:val="clear" w:color="auto" w:fill="auto"/>
          </w:tcPr>
          <w:p w:rsidR="00A671A0" w:rsidRDefault="00A671A0" w:rsidP="00A671A0">
            <w:pPr>
              <w:jc w:val="center"/>
            </w:pPr>
          </w:p>
          <w:p w:rsidR="002224BE" w:rsidRPr="009C7DF1" w:rsidRDefault="002224BE" w:rsidP="003B0135">
            <w:r>
              <w:t xml:space="preserve">Primjedba se ne prihvaća jer ista nije predmet Prijedloga izmjena i dopune Pravilnika, ali </w:t>
            </w:r>
            <w:r w:rsidRPr="002224BE">
              <w:t>je navedeni prijedlog  moguće razmotriti</w:t>
            </w:r>
            <w:r w:rsidR="00F20A9D">
              <w:t xml:space="preserve"> prilikom sljedećih </w:t>
            </w:r>
            <w:r w:rsidRPr="002224BE">
              <w:t>izmjen</w:t>
            </w:r>
            <w:r w:rsidR="00F20A9D">
              <w:t xml:space="preserve">a Pravilnika o kriterijima </w:t>
            </w:r>
            <w:r w:rsidR="00F20A9D" w:rsidRPr="00F20A9D">
              <w:t>za određivanje zakupnina i naknada za korištenje površine javne namjene za postavljanje kioska, pokretnih naprava, privremenih građevina, građevina i uređaja javne namjene, organiziranje manifestacija i snimanja</w:t>
            </w:r>
          </w:p>
        </w:tc>
      </w:tr>
      <w:tr w:rsidR="006535C0" w:rsidRPr="009C7DF1" w:rsidTr="00F30D30">
        <w:trPr>
          <w:trHeight w:val="1887"/>
        </w:trPr>
        <w:tc>
          <w:tcPr>
            <w:tcW w:w="710" w:type="dxa"/>
            <w:tcBorders>
              <w:top w:val="thinThickSmallGap" w:sz="24" w:space="0" w:color="auto"/>
              <w:left w:val="thinThickSmallGap" w:sz="24" w:space="0" w:color="auto"/>
              <w:bottom w:val="thinThickSmallGap" w:sz="24" w:space="0" w:color="auto"/>
            </w:tcBorders>
            <w:shd w:val="clear" w:color="auto" w:fill="auto"/>
            <w:vAlign w:val="center"/>
          </w:tcPr>
          <w:p w:rsidR="006535C0" w:rsidRDefault="006535C0" w:rsidP="00C176A4">
            <w:pPr>
              <w:jc w:val="center"/>
            </w:pPr>
            <w:r>
              <w:lastRenderedPageBreak/>
              <w:t>2.</w:t>
            </w:r>
          </w:p>
        </w:tc>
        <w:tc>
          <w:tcPr>
            <w:tcW w:w="1559" w:type="dxa"/>
            <w:tcBorders>
              <w:top w:val="thinThickSmallGap" w:sz="24" w:space="0" w:color="auto"/>
              <w:bottom w:val="thinThickSmallGap" w:sz="24" w:space="0" w:color="auto"/>
            </w:tcBorders>
            <w:shd w:val="clear" w:color="auto" w:fill="auto"/>
            <w:vAlign w:val="center"/>
          </w:tcPr>
          <w:p w:rsidR="006535C0" w:rsidRDefault="006535C0" w:rsidP="00AC297B">
            <w:r>
              <w:t>I.T.</w:t>
            </w:r>
          </w:p>
          <w:p w:rsidR="006535C0" w:rsidRDefault="006535C0" w:rsidP="00AC297B">
            <w:r>
              <w:t>Udruženje ugostitelja Zagreb</w:t>
            </w:r>
          </w:p>
        </w:tc>
        <w:tc>
          <w:tcPr>
            <w:tcW w:w="1417" w:type="dxa"/>
            <w:tcBorders>
              <w:top w:val="thinThickSmallGap" w:sz="24" w:space="0" w:color="auto"/>
              <w:bottom w:val="thinThickSmallGap" w:sz="24" w:space="0" w:color="auto"/>
            </w:tcBorders>
            <w:shd w:val="clear" w:color="auto" w:fill="auto"/>
            <w:vAlign w:val="center"/>
          </w:tcPr>
          <w:p w:rsidR="006535C0" w:rsidRPr="001A201B" w:rsidRDefault="006535C0" w:rsidP="002224BE">
            <w:pPr>
              <w:rPr>
                <w:b/>
              </w:rPr>
            </w:pPr>
            <w:r>
              <w:rPr>
                <w:b/>
              </w:rPr>
              <w:t>Članak 3.</w:t>
            </w:r>
          </w:p>
        </w:tc>
        <w:tc>
          <w:tcPr>
            <w:tcW w:w="6379" w:type="dxa"/>
            <w:tcBorders>
              <w:top w:val="thinThickSmallGap" w:sz="24" w:space="0" w:color="auto"/>
              <w:bottom w:val="thinThickSmallGap" w:sz="24" w:space="0" w:color="auto"/>
            </w:tcBorders>
            <w:shd w:val="clear" w:color="auto" w:fill="auto"/>
            <w:vAlign w:val="center"/>
          </w:tcPr>
          <w:p w:rsidR="00F30D30" w:rsidRDefault="00F30D30" w:rsidP="006535C0">
            <w:pPr>
              <w:pStyle w:val="Default"/>
              <w:rPr>
                <w:sz w:val="23"/>
                <w:szCs w:val="23"/>
              </w:rPr>
            </w:pPr>
          </w:p>
          <w:p w:rsidR="006535C0" w:rsidRDefault="006535C0" w:rsidP="006535C0">
            <w:pPr>
              <w:pStyle w:val="Default"/>
              <w:rPr>
                <w:sz w:val="23"/>
                <w:szCs w:val="23"/>
              </w:rPr>
            </w:pPr>
            <w:r>
              <w:rPr>
                <w:sz w:val="23"/>
                <w:szCs w:val="23"/>
              </w:rPr>
              <w:t xml:space="preserve">Članak 3. </w:t>
            </w:r>
          </w:p>
          <w:p w:rsidR="006535C0" w:rsidRDefault="006535C0" w:rsidP="006535C0">
            <w:pPr>
              <w:pStyle w:val="Default"/>
              <w:rPr>
                <w:sz w:val="23"/>
                <w:szCs w:val="23"/>
              </w:rPr>
            </w:pPr>
            <w:r>
              <w:rPr>
                <w:sz w:val="23"/>
                <w:szCs w:val="23"/>
              </w:rPr>
              <w:t xml:space="preserve">Stavak 3. mijenja se i glasi: </w:t>
            </w:r>
          </w:p>
          <w:p w:rsidR="006535C0" w:rsidRDefault="006535C0" w:rsidP="006535C0">
            <w:pPr>
              <w:pStyle w:val="Default"/>
              <w:rPr>
                <w:sz w:val="23"/>
                <w:szCs w:val="23"/>
              </w:rPr>
            </w:pPr>
            <w:r>
              <w:rPr>
                <w:sz w:val="23"/>
                <w:szCs w:val="23"/>
              </w:rPr>
              <w:t xml:space="preserve">„Iznimno od stavaka 1. i 2. ovog članka, za postavljanje otvorene terase na parkirališnim mjestima </w:t>
            </w:r>
            <w:r>
              <w:rPr>
                <w:b/>
                <w:bCs/>
                <w:sz w:val="23"/>
                <w:szCs w:val="23"/>
              </w:rPr>
              <w:t xml:space="preserve">naknada se određuje u iznosu naknade za neposrednu dodjelu rezerviranih parkirališnih mjesta po pojedinoj zoni </w:t>
            </w:r>
            <w:r>
              <w:rPr>
                <w:sz w:val="23"/>
                <w:szCs w:val="23"/>
              </w:rPr>
              <w:t xml:space="preserve">u kojoj se rezervirano parkirališno mjesto nalazi sukladno propisima kojima se uređuju rezervirana parkirališna mjesta.“ </w:t>
            </w:r>
          </w:p>
          <w:p w:rsidR="006535C0" w:rsidRDefault="006535C0" w:rsidP="006535C0">
            <w:pPr>
              <w:pStyle w:val="Default"/>
              <w:rPr>
                <w:sz w:val="23"/>
                <w:szCs w:val="23"/>
              </w:rPr>
            </w:pPr>
            <w:r>
              <w:rPr>
                <w:sz w:val="23"/>
                <w:szCs w:val="23"/>
              </w:rPr>
              <w:t xml:space="preserve">Predmetni prijedlog upućuje na primjenu članka 11. Pravilnika o parkirališnim zonama, uvjetima i cijenama parkiranja (Službeni glasnik Grada Zagreba broj 15/2013) na visinu naknade za korištenje parkirališnih mjesta za postavljanje otvorenih terasa od strane ugostiteljskih objekata. </w:t>
            </w:r>
          </w:p>
          <w:p w:rsidR="006535C0" w:rsidRDefault="006535C0" w:rsidP="006535C0">
            <w:pPr>
              <w:pStyle w:val="Default"/>
              <w:rPr>
                <w:sz w:val="23"/>
                <w:szCs w:val="23"/>
              </w:rPr>
            </w:pPr>
            <w:r>
              <w:rPr>
                <w:sz w:val="23"/>
                <w:szCs w:val="23"/>
              </w:rPr>
              <w:t xml:space="preserve">Članak 11. Pravilnika o parkirališnim zonama, uvjetima i cijenama parkiranja (Službeni glasnik Grada Zagreba broj 15/2013) glasi: </w:t>
            </w:r>
          </w:p>
          <w:p w:rsidR="006535C0" w:rsidRDefault="006535C0" w:rsidP="006535C0">
            <w:pPr>
              <w:pStyle w:val="Default"/>
              <w:rPr>
                <w:sz w:val="23"/>
                <w:szCs w:val="23"/>
              </w:rPr>
            </w:pPr>
            <w:r>
              <w:rPr>
                <w:sz w:val="23"/>
                <w:szCs w:val="23"/>
              </w:rPr>
              <w:t xml:space="preserve">„Visina mjesečne naknade za uporabu rezerviranoga parkirališnog mjesta u pojedinoj zoni u kojoj se rezervirano parkirališno mjesto nalazi iznosi: </w:t>
            </w:r>
          </w:p>
          <w:p w:rsidR="006535C0" w:rsidRDefault="006535C0" w:rsidP="006535C0">
            <w:pPr>
              <w:pStyle w:val="Default"/>
              <w:rPr>
                <w:sz w:val="23"/>
                <w:szCs w:val="23"/>
              </w:rPr>
            </w:pPr>
            <w:r>
              <w:rPr>
                <w:sz w:val="23"/>
                <w:szCs w:val="23"/>
              </w:rPr>
              <w:t xml:space="preserve">- u I. zoni: 4.000,00 kuna, </w:t>
            </w:r>
          </w:p>
          <w:p w:rsidR="006535C0" w:rsidRDefault="006535C0" w:rsidP="006535C0">
            <w:pPr>
              <w:pStyle w:val="Default"/>
              <w:rPr>
                <w:sz w:val="23"/>
                <w:szCs w:val="23"/>
              </w:rPr>
            </w:pPr>
            <w:r>
              <w:rPr>
                <w:sz w:val="23"/>
                <w:szCs w:val="23"/>
              </w:rPr>
              <w:t xml:space="preserve">- u II. zoni: 3.000,00 kuna, </w:t>
            </w:r>
          </w:p>
          <w:p w:rsidR="006535C0" w:rsidRDefault="006535C0" w:rsidP="006535C0">
            <w:pPr>
              <w:pStyle w:val="Default"/>
              <w:rPr>
                <w:sz w:val="23"/>
                <w:szCs w:val="23"/>
              </w:rPr>
            </w:pPr>
            <w:r>
              <w:rPr>
                <w:sz w:val="23"/>
                <w:szCs w:val="23"/>
              </w:rPr>
              <w:t xml:space="preserve">- u III. zoni: 2.000,00 kuna.“ </w:t>
            </w:r>
          </w:p>
          <w:p w:rsidR="006535C0" w:rsidRDefault="006535C0" w:rsidP="006535C0">
            <w:pPr>
              <w:pStyle w:val="Default"/>
              <w:rPr>
                <w:sz w:val="23"/>
                <w:szCs w:val="23"/>
              </w:rPr>
            </w:pPr>
            <w:r>
              <w:rPr>
                <w:sz w:val="23"/>
                <w:szCs w:val="23"/>
              </w:rPr>
              <w:t>Uzmemo li u obzir da je prosječno parkirališno mjesto veličine 11,75 m</w:t>
            </w:r>
            <w:r>
              <w:rPr>
                <w:sz w:val="16"/>
                <w:szCs w:val="16"/>
              </w:rPr>
              <w:t>2</w:t>
            </w:r>
            <w:r>
              <w:rPr>
                <w:sz w:val="23"/>
                <w:szCs w:val="23"/>
              </w:rPr>
              <w:t xml:space="preserve">, ovakvim prijedlogom se nastoji povećati cijena jednog parkirališnog mjesta za postavljanje otvorene terase na godišnjoj razini, </w:t>
            </w:r>
          </w:p>
          <w:p w:rsidR="006535C0" w:rsidRDefault="006535C0" w:rsidP="006535C0">
            <w:pPr>
              <w:pStyle w:val="Default"/>
              <w:rPr>
                <w:sz w:val="23"/>
                <w:szCs w:val="23"/>
              </w:rPr>
            </w:pPr>
            <w:r>
              <w:rPr>
                <w:sz w:val="23"/>
                <w:szCs w:val="23"/>
              </w:rPr>
              <w:t xml:space="preserve">kako slijedi: </w:t>
            </w:r>
          </w:p>
          <w:p w:rsidR="006535C0" w:rsidRDefault="006535C0" w:rsidP="006535C0">
            <w:pPr>
              <w:pStyle w:val="Default"/>
              <w:rPr>
                <w:sz w:val="23"/>
                <w:szCs w:val="23"/>
              </w:rPr>
            </w:pPr>
            <w:r>
              <w:rPr>
                <w:sz w:val="23"/>
                <w:szCs w:val="23"/>
              </w:rPr>
              <w:t xml:space="preserve">I. zona – za </w:t>
            </w:r>
            <w:r>
              <w:rPr>
                <w:b/>
                <w:bCs/>
                <w:sz w:val="23"/>
                <w:szCs w:val="23"/>
              </w:rPr>
              <w:t xml:space="preserve">895,86 %, </w:t>
            </w:r>
            <w:r>
              <w:rPr>
                <w:sz w:val="23"/>
                <w:szCs w:val="23"/>
              </w:rPr>
              <w:t xml:space="preserve">sa 5.358 kn na 48.000 kn </w:t>
            </w:r>
          </w:p>
          <w:p w:rsidR="006535C0" w:rsidRDefault="006535C0" w:rsidP="006535C0">
            <w:pPr>
              <w:pStyle w:val="Default"/>
              <w:rPr>
                <w:sz w:val="23"/>
                <w:szCs w:val="23"/>
              </w:rPr>
            </w:pPr>
            <w:r>
              <w:rPr>
                <w:sz w:val="23"/>
                <w:szCs w:val="23"/>
              </w:rPr>
              <w:t xml:space="preserve">II. zona – za </w:t>
            </w:r>
            <w:r>
              <w:rPr>
                <w:b/>
                <w:bCs/>
                <w:sz w:val="23"/>
                <w:szCs w:val="23"/>
              </w:rPr>
              <w:t xml:space="preserve">797,87 %, </w:t>
            </w:r>
            <w:r>
              <w:rPr>
                <w:sz w:val="23"/>
                <w:szCs w:val="23"/>
              </w:rPr>
              <w:t xml:space="preserve">sa 4.512 kn na 36.000 kn </w:t>
            </w:r>
          </w:p>
          <w:p w:rsidR="006535C0" w:rsidRDefault="006535C0" w:rsidP="006535C0">
            <w:pPr>
              <w:pStyle w:val="Default"/>
              <w:rPr>
                <w:sz w:val="23"/>
                <w:szCs w:val="23"/>
              </w:rPr>
            </w:pPr>
            <w:r>
              <w:rPr>
                <w:sz w:val="23"/>
                <w:szCs w:val="23"/>
              </w:rPr>
              <w:t xml:space="preserve">III. zona – za </w:t>
            </w:r>
            <w:r>
              <w:rPr>
                <w:b/>
                <w:bCs/>
                <w:sz w:val="23"/>
                <w:szCs w:val="23"/>
              </w:rPr>
              <w:t xml:space="preserve">680,85 %, </w:t>
            </w:r>
            <w:r>
              <w:rPr>
                <w:sz w:val="23"/>
                <w:szCs w:val="23"/>
              </w:rPr>
              <w:t xml:space="preserve">sa 3.525 kn na 24.000 kn. </w:t>
            </w:r>
          </w:p>
          <w:p w:rsidR="006535C0" w:rsidRDefault="006535C0" w:rsidP="006535C0">
            <w:pPr>
              <w:pStyle w:val="Default"/>
              <w:rPr>
                <w:sz w:val="23"/>
                <w:szCs w:val="23"/>
              </w:rPr>
            </w:pPr>
            <w:r>
              <w:rPr>
                <w:sz w:val="23"/>
                <w:szCs w:val="23"/>
              </w:rPr>
              <w:t xml:space="preserve">Obzirom na trenutno okolnosti na tržištu, sve prisutnu energetsku i ekonomsku globalnu krizu te akumulirane negativne posljedice pandemije na poslovanje turističko-ugostiteljskog sektora, usvajanje ovakvog prijedloga će dovesti u nepovoljan položaj ugostitelje koji će istim biti zahvaćeni, što će uzročno posljedično rezultirati propadanjem godinama građenih poslova, gubitkom investicija i radnih mjesta. </w:t>
            </w:r>
          </w:p>
          <w:p w:rsidR="006535C0" w:rsidRDefault="006535C0" w:rsidP="006535C0">
            <w:pPr>
              <w:pStyle w:val="Default"/>
              <w:rPr>
                <w:sz w:val="23"/>
                <w:szCs w:val="23"/>
              </w:rPr>
            </w:pPr>
            <w:r>
              <w:rPr>
                <w:sz w:val="23"/>
                <w:szCs w:val="23"/>
              </w:rPr>
              <w:lastRenderedPageBreak/>
              <w:t xml:space="preserve">Ovim putem želimo istaknuti da razumijemo namjeru Grada Zagreba za unaprjeđenjem modela upravljanja javnim površinama, no jednako tako želimo istaknuti važnost prethodnog provođenja analize učinaka predloženih izmjena na sve dionike koji su istima zahvaćeni te održavanje iscrpnih konzultacija sa njima. </w:t>
            </w:r>
          </w:p>
          <w:p w:rsidR="006535C0" w:rsidRDefault="006535C0" w:rsidP="006535C0">
            <w:pPr>
              <w:pStyle w:val="Default"/>
              <w:rPr>
                <w:sz w:val="23"/>
                <w:szCs w:val="23"/>
              </w:rPr>
            </w:pPr>
            <w:r>
              <w:rPr>
                <w:sz w:val="23"/>
                <w:szCs w:val="23"/>
              </w:rPr>
              <w:t xml:space="preserve">Prije svega želimo istaknuti da povećanje bilo koje usluge u kratkom vremenskom roku u poslovnom svijetu od 900 % dovodi poslovni odnos do točke pucanja. Posebice u okolnostima kada ugostiteljski sektor ovisi o poslovanju na prostorima na otvorenom, a od posljednje tri godine, stanje na tržištu karakteriziraju dvije godine pandemije (ograničen rad, potpuno gašenje sektora) i godina dana galopirajuće inflacije uz poskupljenje namirnica od 40 – 100 % te poskupljenje energenata (struja i plin) od nevjerojatnih 400 %. </w:t>
            </w:r>
          </w:p>
          <w:p w:rsidR="006535C0" w:rsidRPr="006535C0" w:rsidRDefault="006535C0" w:rsidP="006535C0">
            <w:pPr>
              <w:rPr>
                <w:sz w:val="23"/>
                <w:szCs w:val="23"/>
              </w:rPr>
            </w:pPr>
            <w:r>
              <w:rPr>
                <w:sz w:val="23"/>
                <w:szCs w:val="23"/>
              </w:rPr>
              <w:t xml:space="preserve">Povećanje od 900 %, pa čak i povećanje od 400 % u datom trenutku nije razmjerno postizanju zadanih ciljeva Grada Zagreba, obzirom da drugoj strani nastaje prekomjerna šteta. Također je važno naglasiti da ne postoji </w:t>
            </w:r>
            <w:r w:rsidRPr="006535C0">
              <w:rPr>
                <w:sz w:val="23"/>
                <w:szCs w:val="23"/>
              </w:rPr>
              <w:t>prijelazno razdoblje prilagodbe kao što ne postoje niti kompenzacijske mjere za ovako ekstremno povećanje cijene.</w:t>
            </w:r>
          </w:p>
          <w:p w:rsidR="006535C0" w:rsidRPr="006535C0" w:rsidRDefault="006535C0" w:rsidP="006535C0">
            <w:pPr>
              <w:rPr>
                <w:sz w:val="23"/>
                <w:szCs w:val="23"/>
              </w:rPr>
            </w:pPr>
            <w:r w:rsidRPr="006535C0">
              <w:rPr>
                <w:sz w:val="23"/>
                <w:szCs w:val="23"/>
              </w:rPr>
              <w:t>S druge strane, terase ugostiteljskih objekata osiguravaju prostor na kojima se odvija najveći dio poslovanja ugostiteljskih objekata.</w:t>
            </w:r>
          </w:p>
          <w:p w:rsidR="006535C0" w:rsidRPr="006535C0" w:rsidRDefault="006535C0" w:rsidP="006535C0">
            <w:pPr>
              <w:rPr>
                <w:sz w:val="23"/>
                <w:szCs w:val="23"/>
              </w:rPr>
            </w:pPr>
            <w:r w:rsidRPr="006535C0">
              <w:rPr>
                <w:sz w:val="23"/>
                <w:szCs w:val="23"/>
              </w:rPr>
              <w:t>Terasa kao takva osim što podiže kvalitetu zagrebačke turističke ponude, generira prihode za osiguravanje plaća naših zaposlenika, doprinosa, poreza i prireza jedinici lokalne samouprave, plaćanje najmova, komunalne naknade i drugih režijskih troškova, što parkirno mjesto samo po sebi ne generira.</w:t>
            </w:r>
          </w:p>
          <w:p w:rsidR="006535C0" w:rsidRDefault="006535C0" w:rsidP="006535C0">
            <w:pPr>
              <w:rPr>
                <w:sz w:val="23"/>
                <w:szCs w:val="23"/>
              </w:rPr>
            </w:pPr>
            <w:r w:rsidRPr="006535C0">
              <w:rPr>
                <w:sz w:val="23"/>
                <w:szCs w:val="23"/>
              </w:rPr>
              <w:t>Uzmemo li u obzir postojanje sljedećih kategorija parkirališnih karata</w:t>
            </w:r>
          </w:p>
          <w:p w:rsidR="006535C0" w:rsidRDefault="006535C0" w:rsidP="006535C0">
            <w:pPr>
              <w:rPr>
                <w:sz w:val="23"/>
                <w:szCs w:val="23"/>
              </w:rPr>
            </w:pPr>
          </w:p>
          <w:p w:rsidR="006535C0" w:rsidRDefault="006535C0" w:rsidP="006535C0">
            <w:pPr>
              <w:rPr>
                <w:sz w:val="23"/>
                <w:szCs w:val="23"/>
              </w:rPr>
            </w:pPr>
            <w:r w:rsidRPr="006535C0">
              <w:rPr>
                <w:sz w:val="23"/>
                <w:szCs w:val="23"/>
              </w:rPr>
              <w:t>Uzmemo li u obzir postojanje sljedećih kategorija parkirališnih karata</w:t>
            </w:r>
          </w:p>
          <w:p w:rsidR="006535C0" w:rsidRDefault="006535C0" w:rsidP="006535C0">
            <w:pPr>
              <w:rPr>
                <w:sz w:val="23"/>
                <w:szCs w:val="23"/>
              </w:rPr>
            </w:pPr>
          </w:p>
          <w:tbl>
            <w:tblPr>
              <w:tblStyle w:val="TableGrid"/>
              <w:tblW w:w="0" w:type="auto"/>
              <w:tblLayout w:type="fixed"/>
              <w:tblLook w:val="04A0" w:firstRow="1" w:lastRow="0" w:firstColumn="1" w:lastColumn="0" w:noHBand="0" w:noVBand="1"/>
            </w:tblPr>
            <w:tblGrid>
              <w:gridCol w:w="1838"/>
              <w:gridCol w:w="1418"/>
              <w:gridCol w:w="1417"/>
              <w:gridCol w:w="1418"/>
            </w:tblGrid>
            <w:tr w:rsidR="00F30D30" w:rsidRPr="00E64B35" w:rsidTr="003B5229">
              <w:tc>
                <w:tcPr>
                  <w:tcW w:w="1838" w:type="dxa"/>
                </w:tcPr>
                <w:p w:rsidR="00F30D30" w:rsidRPr="00E64B35" w:rsidRDefault="00F30D30" w:rsidP="00F30D30">
                  <w:pPr>
                    <w:rPr>
                      <w:sz w:val="20"/>
                      <w:szCs w:val="20"/>
                    </w:rPr>
                  </w:pPr>
                </w:p>
              </w:tc>
              <w:tc>
                <w:tcPr>
                  <w:tcW w:w="1418" w:type="dxa"/>
                </w:tcPr>
                <w:p w:rsidR="00F30D30" w:rsidRPr="00E64B35" w:rsidRDefault="00F30D30" w:rsidP="00F30D30">
                  <w:pPr>
                    <w:jc w:val="center"/>
                    <w:rPr>
                      <w:sz w:val="20"/>
                      <w:szCs w:val="20"/>
                    </w:rPr>
                  </w:pPr>
                  <w:r w:rsidRPr="00E64B35">
                    <w:rPr>
                      <w:sz w:val="20"/>
                      <w:szCs w:val="20"/>
                    </w:rPr>
                    <w:t>I. zona</w:t>
                  </w:r>
                </w:p>
              </w:tc>
              <w:tc>
                <w:tcPr>
                  <w:tcW w:w="1417" w:type="dxa"/>
                </w:tcPr>
                <w:p w:rsidR="00F30D30" w:rsidRPr="00E64B35" w:rsidRDefault="00F30D30" w:rsidP="00F30D30">
                  <w:pPr>
                    <w:jc w:val="center"/>
                    <w:rPr>
                      <w:sz w:val="20"/>
                      <w:szCs w:val="20"/>
                    </w:rPr>
                  </w:pPr>
                  <w:r w:rsidRPr="00E64B35">
                    <w:rPr>
                      <w:sz w:val="20"/>
                      <w:szCs w:val="20"/>
                    </w:rPr>
                    <w:t>II. zona</w:t>
                  </w:r>
                </w:p>
              </w:tc>
              <w:tc>
                <w:tcPr>
                  <w:tcW w:w="1418" w:type="dxa"/>
                </w:tcPr>
                <w:p w:rsidR="00F30D30" w:rsidRPr="00E64B35" w:rsidRDefault="00F30D30" w:rsidP="00F30D30">
                  <w:pPr>
                    <w:jc w:val="center"/>
                    <w:rPr>
                      <w:sz w:val="20"/>
                      <w:szCs w:val="20"/>
                    </w:rPr>
                  </w:pPr>
                  <w:r w:rsidRPr="00E64B35">
                    <w:rPr>
                      <w:sz w:val="20"/>
                      <w:szCs w:val="20"/>
                    </w:rPr>
                    <w:t>III. zona</w:t>
                  </w:r>
                </w:p>
              </w:tc>
            </w:tr>
            <w:tr w:rsidR="00F30D30" w:rsidRPr="00E64B35" w:rsidTr="003B5229">
              <w:tc>
                <w:tcPr>
                  <w:tcW w:w="1838" w:type="dxa"/>
                </w:tcPr>
                <w:p w:rsidR="00F30D30" w:rsidRPr="00E64B35" w:rsidRDefault="00F30D30" w:rsidP="00F30D30">
                  <w:pPr>
                    <w:rPr>
                      <w:sz w:val="20"/>
                      <w:szCs w:val="20"/>
                    </w:rPr>
                  </w:pPr>
                  <w:r w:rsidRPr="00E64B35">
                    <w:rPr>
                      <w:sz w:val="20"/>
                      <w:szCs w:val="20"/>
                    </w:rPr>
                    <w:t>Povlaštena stanarska</w:t>
                  </w:r>
                </w:p>
              </w:tc>
              <w:tc>
                <w:tcPr>
                  <w:tcW w:w="1418" w:type="dxa"/>
                </w:tcPr>
                <w:p w:rsidR="00F30D30" w:rsidRPr="00E64B35" w:rsidRDefault="00F30D30" w:rsidP="00F30D30">
                  <w:pPr>
                    <w:jc w:val="right"/>
                    <w:rPr>
                      <w:sz w:val="20"/>
                      <w:szCs w:val="20"/>
                    </w:rPr>
                  </w:pPr>
                  <w:r w:rsidRPr="00E64B35">
                    <w:rPr>
                      <w:sz w:val="20"/>
                      <w:szCs w:val="20"/>
                    </w:rPr>
                    <w:t>100,00 HRK</w:t>
                  </w:r>
                </w:p>
              </w:tc>
              <w:tc>
                <w:tcPr>
                  <w:tcW w:w="1417" w:type="dxa"/>
                </w:tcPr>
                <w:p w:rsidR="00F30D30" w:rsidRPr="00E64B35" w:rsidRDefault="00F30D30" w:rsidP="00F30D30">
                  <w:pPr>
                    <w:jc w:val="right"/>
                    <w:rPr>
                      <w:sz w:val="20"/>
                      <w:szCs w:val="20"/>
                    </w:rPr>
                  </w:pPr>
                  <w:r w:rsidRPr="00E64B35">
                    <w:rPr>
                      <w:sz w:val="20"/>
                      <w:szCs w:val="20"/>
                    </w:rPr>
                    <w:t>40,00 HRK</w:t>
                  </w:r>
                </w:p>
              </w:tc>
              <w:tc>
                <w:tcPr>
                  <w:tcW w:w="1418" w:type="dxa"/>
                </w:tcPr>
                <w:p w:rsidR="00F30D30" w:rsidRPr="00E64B35" w:rsidRDefault="00F30D30" w:rsidP="00F30D30">
                  <w:pPr>
                    <w:jc w:val="right"/>
                    <w:rPr>
                      <w:sz w:val="20"/>
                      <w:szCs w:val="20"/>
                    </w:rPr>
                  </w:pPr>
                  <w:r w:rsidRPr="00E64B35">
                    <w:rPr>
                      <w:sz w:val="20"/>
                      <w:szCs w:val="20"/>
                    </w:rPr>
                    <w:t>25,00 HRK</w:t>
                  </w:r>
                </w:p>
              </w:tc>
            </w:tr>
            <w:tr w:rsidR="00F30D30" w:rsidRPr="00E64B35" w:rsidTr="003B5229">
              <w:tc>
                <w:tcPr>
                  <w:tcW w:w="1838" w:type="dxa"/>
                </w:tcPr>
                <w:p w:rsidR="00F30D30" w:rsidRPr="00E64B35" w:rsidRDefault="00F30D30" w:rsidP="00F30D30">
                  <w:pPr>
                    <w:rPr>
                      <w:sz w:val="20"/>
                      <w:szCs w:val="20"/>
                    </w:rPr>
                  </w:pPr>
                  <w:r w:rsidRPr="00E64B35">
                    <w:rPr>
                      <w:sz w:val="20"/>
                      <w:szCs w:val="20"/>
                    </w:rPr>
                    <w:t>Obrtnici</w:t>
                  </w:r>
                </w:p>
              </w:tc>
              <w:tc>
                <w:tcPr>
                  <w:tcW w:w="1418" w:type="dxa"/>
                </w:tcPr>
                <w:p w:rsidR="00F30D30" w:rsidRPr="00E64B35" w:rsidRDefault="00F30D30" w:rsidP="00F30D30">
                  <w:pPr>
                    <w:jc w:val="right"/>
                    <w:rPr>
                      <w:sz w:val="20"/>
                      <w:szCs w:val="20"/>
                    </w:rPr>
                  </w:pPr>
                  <w:r w:rsidRPr="00E64B35">
                    <w:rPr>
                      <w:sz w:val="20"/>
                      <w:szCs w:val="20"/>
                    </w:rPr>
                    <w:t>250,00 HRK</w:t>
                  </w:r>
                </w:p>
              </w:tc>
              <w:tc>
                <w:tcPr>
                  <w:tcW w:w="1417" w:type="dxa"/>
                </w:tcPr>
                <w:p w:rsidR="00F30D30" w:rsidRPr="00E64B35" w:rsidRDefault="00F30D30" w:rsidP="00F30D30">
                  <w:pPr>
                    <w:jc w:val="right"/>
                    <w:rPr>
                      <w:sz w:val="20"/>
                      <w:szCs w:val="20"/>
                    </w:rPr>
                  </w:pPr>
                  <w:r w:rsidRPr="00E64B35">
                    <w:rPr>
                      <w:sz w:val="20"/>
                      <w:szCs w:val="20"/>
                    </w:rPr>
                    <w:t>150,00 HRK</w:t>
                  </w:r>
                </w:p>
              </w:tc>
              <w:tc>
                <w:tcPr>
                  <w:tcW w:w="1418" w:type="dxa"/>
                </w:tcPr>
                <w:p w:rsidR="00F30D30" w:rsidRPr="00E64B35" w:rsidRDefault="00F30D30" w:rsidP="00F30D30">
                  <w:pPr>
                    <w:jc w:val="right"/>
                    <w:rPr>
                      <w:sz w:val="20"/>
                      <w:szCs w:val="20"/>
                    </w:rPr>
                  </w:pPr>
                  <w:r w:rsidRPr="00E64B35">
                    <w:rPr>
                      <w:sz w:val="20"/>
                      <w:szCs w:val="20"/>
                    </w:rPr>
                    <w:t>75,00 HRK</w:t>
                  </w:r>
                </w:p>
              </w:tc>
            </w:tr>
            <w:tr w:rsidR="00F30D30" w:rsidRPr="00E64B35" w:rsidTr="003B5229">
              <w:tc>
                <w:tcPr>
                  <w:tcW w:w="1838" w:type="dxa"/>
                </w:tcPr>
                <w:p w:rsidR="00F30D30" w:rsidRPr="00E64B35" w:rsidRDefault="00F30D30" w:rsidP="00F30D30">
                  <w:pPr>
                    <w:rPr>
                      <w:sz w:val="20"/>
                      <w:szCs w:val="20"/>
                    </w:rPr>
                  </w:pPr>
                  <w:r w:rsidRPr="00E64B35">
                    <w:rPr>
                      <w:sz w:val="20"/>
                      <w:szCs w:val="20"/>
                    </w:rPr>
                    <w:t>Poduzeća</w:t>
                  </w:r>
                </w:p>
              </w:tc>
              <w:tc>
                <w:tcPr>
                  <w:tcW w:w="1418" w:type="dxa"/>
                </w:tcPr>
                <w:p w:rsidR="00F30D30" w:rsidRPr="00E64B35" w:rsidRDefault="00F30D30" w:rsidP="00F30D30">
                  <w:pPr>
                    <w:jc w:val="right"/>
                    <w:rPr>
                      <w:sz w:val="20"/>
                      <w:szCs w:val="20"/>
                    </w:rPr>
                  </w:pPr>
                  <w:r w:rsidRPr="00E64B35">
                    <w:rPr>
                      <w:sz w:val="20"/>
                      <w:szCs w:val="20"/>
                    </w:rPr>
                    <w:t>500,00 HRK</w:t>
                  </w:r>
                </w:p>
              </w:tc>
              <w:tc>
                <w:tcPr>
                  <w:tcW w:w="1417" w:type="dxa"/>
                </w:tcPr>
                <w:p w:rsidR="00F30D30" w:rsidRPr="00E64B35" w:rsidRDefault="00F30D30" w:rsidP="00F30D30">
                  <w:pPr>
                    <w:jc w:val="right"/>
                    <w:rPr>
                      <w:sz w:val="20"/>
                      <w:szCs w:val="20"/>
                    </w:rPr>
                  </w:pPr>
                  <w:r w:rsidRPr="00E64B35">
                    <w:rPr>
                      <w:sz w:val="20"/>
                      <w:szCs w:val="20"/>
                    </w:rPr>
                    <w:t>50,00 HRK</w:t>
                  </w:r>
                </w:p>
              </w:tc>
              <w:tc>
                <w:tcPr>
                  <w:tcW w:w="1418" w:type="dxa"/>
                </w:tcPr>
                <w:p w:rsidR="00F30D30" w:rsidRPr="00E64B35" w:rsidRDefault="00F30D30" w:rsidP="00F30D30">
                  <w:pPr>
                    <w:jc w:val="right"/>
                    <w:rPr>
                      <w:sz w:val="20"/>
                      <w:szCs w:val="20"/>
                    </w:rPr>
                  </w:pPr>
                  <w:r w:rsidRPr="00E64B35">
                    <w:rPr>
                      <w:sz w:val="20"/>
                      <w:szCs w:val="20"/>
                    </w:rPr>
                    <w:t>100,00 HRK</w:t>
                  </w:r>
                </w:p>
              </w:tc>
            </w:tr>
            <w:tr w:rsidR="00F30D30" w:rsidRPr="00E64B35" w:rsidTr="003B5229">
              <w:tc>
                <w:tcPr>
                  <w:tcW w:w="1838" w:type="dxa"/>
                </w:tcPr>
                <w:p w:rsidR="00F30D30" w:rsidRPr="00E64B35" w:rsidRDefault="00F30D30" w:rsidP="00F30D30">
                  <w:pPr>
                    <w:rPr>
                      <w:sz w:val="20"/>
                      <w:szCs w:val="20"/>
                    </w:rPr>
                  </w:pPr>
                  <w:r w:rsidRPr="00E64B35">
                    <w:rPr>
                      <w:sz w:val="20"/>
                      <w:szCs w:val="20"/>
                    </w:rPr>
                    <w:lastRenderedPageBreak/>
                    <w:t>Komercijalna Karta</w:t>
                  </w:r>
                </w:p>
              </w:tc>
              <w:tc>
                <w:tcPr>
                  <w:tcW w:w="1418" w:type="dxa"/>
                </w:tcPr>
                <w:p w:rsidR="00F30D30" w:rsidRPr="00E64B35" w:rsidRDefault="00F30D30" w:rsidP="00F30D30">
                  <w:pPr>
                    <w:jc w:val="right"/>
                    <w:rPr>
                      <w:sz w:val="20"/>
                      <w:szCs w:val="20"/>
                    </w:rPr>
                  </w:pPr>
                  <w:r w:rsidRPr="00E64B35">
                    <w:rPr>
                      <w:sz w:val="20"/>
                      <w:szCs w:val="20"/>
                    </w:rPr>
                    <w:t>720,00 HRK</w:t>
                  </w:r>
                </w:p>
              </w:tc>
              <w:tc>
                <w:tcPr>
                  <w:tcW w:w="1417" w:type="dxa"/>
                </w:tcPr>
                <w:p w:rsidR="00F30D30" w:rsidRPr="00E64B35" w:rsidRDefault="00F30D30" w:rsidP="00F30D30">
                  <w:pPr>
                    <w:jc w:val="right"/>
                    <w:rPr>
                      <w:sz w:val="20"/>
                      <w:szCs w:val="20"/>
                    </w:rPr>
                  </w:pPr>
                  <w:r w:rsidRPr="00E64B35">
                    <w:rPr>
                      <w:sz w:val="20"/>
                      <w:szCs w:val="20"/>
                    </w:rPr>
                    <w:t>360,00 HRK</w:t>
                  </w:r>
                </w:p>
              </w:tc>
              <w:tc>
                <w:tcPr>
                  <w:tcW w:w="1418" w:type="dxa"/>
                </w:tcPr>
                <w:p w:rsidR="00F30D30" w:rsidRPr="00E64B35" w:rsidRDefault="00F30D30" w:rsidP="00F30D30">
                  <w:pPr>
                    <w:jc w:val="right"/>
                    <w:rPr>
                      <w:sz w:val="20"/>
                      <w:szCs w:val="20"/>
                    </w:rPr>
                  </w:pPr>
                  <w:r w:rsidRPr="00E64B35">
                    <w:rPr>
                      <w:sz w:val="20"/>
                      <w:szCs w:val="20"/>
                    </w:rPr>
                    <w:t>128,00 HRK</w:t>
                  </w:r>
                </w:p>
              </w:tc>
            </w:tr>
            <w:tr w:rsidR="00F30D30" w:rsidRPr="00E64B35" w:rsidTr="003B5229">
              <w:tc>
                <w:tcPr>
                  <w:tcW w:w="1838" w:type="dxa"/>
                </w:tcPr>
                <w:p w:rsidR="00F30D30" w:rsidRPr="00E64B35" w:rsidRDefault="00F30D30" w:rsidP="00F30D30">
                  <w:pPr>
                    <w:rPr>
                      <w:sz w:val="20"/>
                      <w:szCs w:val="20"/>
                    </w:rPr>
                  </w:pPr>
                  <w:r w:rsidRPr="00E64B35">
                    <w:rPr>
                      <w:sz w:val="20"/>
                      <w:szCs w:val="20"/>
                    </w:rPr>
                    <w:t>Dnevna karta (mjesečno)</w:t>
                  </w:r>
                </w:p>
              </w:tc>
              <w:tc>
                <w:tcPr>
                  <w:tcW w:w="1418" w:type="dxa"/>
                </w:tcPr>
                <w:p w:rsidR="00F30D30" w:rsidRPr="00E64B35" w:rsidRDefault="00F30D30" w:rsidP="00F30D30">
                  <w:pPr>
                    <w:jc w:val="right"/>
                    <w:rPr>
                      <w:sz w:val="20"/>
                      <w:szCs w:val="20"/>
                    </w:rPr>
                  </w:pPr>
                  <w:r w:rsidRPr="00E64B35">
                    <w:rPr>
                      <w:sz w:val="20"/>
                      <w:szCs w:val="20"/>
                    </w:rPr>
                    <w:t>2.600,00 HRK</w:t>
                  </w:r>
                </w:p>
              </w:tc>
              <w:tc>
                <w:tcPr>
                  <w:tcW w:w="1417" w:type="dxa"/>
                </w:tcPr>
                <w:p w:rsidR="00F30D30" w:rsidRPr="00E64B35" w:rsidRDefault="00F30D30" w:rsidP="00F30D30">
                  <w:pPr>
                    <w:jc w:val="right"/>
                    <w:rPr>
                      <w:sz w:val="20"/>
                      <w:szCs w:val="20"/>
                    </w:rPr>
                  </w:pPr>
                  <w:r w:rsidRPr="00E64B35">
                    <w:rPr>
                      <w:sz w:val="20"/>
                      <w:szCs w:val="20"/>
                    </w:rPr>
                    <w:t>1.560,00 HRK</w:t>
                  </w:r>
                </w:p>
              </w:tc>
              <w:tc>
                <w:tcPr>
                  <w:tcW w:w="1418" w:type="dxa"/>
                </w:tcPr>
                <w:p w:rsidR="00F30D30" w:rsidRPr="00E64B35" w:rsidRDefault="00F30D30" w:rsidP="00F30D30">
                  <w:pPr>
                    <w:jc w:val="right"/>
                    <w:rPr>
                      <w:sz w:val="20"/>
                      <w:szCs w:val="20"/>
                    </w:rPr>
                  </w:pPr>
                  <w:r w:rsidRPr="00E64B35">
                    <w:rPr>
                      <w:sz w:val="20"/>
                      <w:szCs w:val="20"/>
                    </w:rPr>
                    <w:t>52,00 HRK</w:t>
                  </w:r>
                </w:p>
              </w:tc>
            </w:tr>
            <w:tr w:rsidR="00F30D30" w:rsidRPr="00E64B35" w:rsidTr="003B5229">
              <w:tc>
                <w:tcPr>
                  <w:tcW w:w="1838" w:type="dxa"/>
                </w:tcPr>
                <w:p w:rsidR="00F30D30" w:rsidRPr="00E64B35" w:rsidRDefault="00F30D30" w:rsidP="00F30D30">
                  <w:pPr>
                    <w:rPr>
                      <w:sz w:val="20"/>
                      <w:szCs w:val="20"/>
                    </w:rPr>
                  </w:pPr>
                  <w:r w:rsidRPr="00E64B35">
                    <w:rPr>
                      <w:sz w:val="20"/>
                      <w:szCs w:val="20"/>
                    </w:rPr>
                    <w:t>Prijedlog za terase (mjesečno)</w:t>
                  </w:r>
                </w:p>
              </w:tc>
              <w:tc>
                <w:tcPr>
                  <w:tcW w:w="1418" w:type="dxa"/>
                </w:tcPr>
                <w:p w:rsidR="00F30D30" w:rsidRPr="00E64B35" w:rsidRDefault="00F30D30" w:rsidP="00F30D30">
                  <w:pPr>
                    <w:jc w:val="right"/>
                    <w:rPr>
                      <w:sz w:val="20"/>
                      <w:szCs w:val="20"/>
                    </w:rPr>
                  </w:pPr>
                  <w:r w:rsidRPr="00E64B35">
                    <w:rPr>
                      <w:sz w:val="20"/>
                      <w:szCs w:val="20"/>
                    </w:rPr>
                    <w:t>4.000,00 HRK</w:t>
                  </w:r>
                </w:p>
              </w:tc>
              <w:tc>
                <w:tcPr>
                  <w:tcW w:w="1417" w:type="dxa"/>
                </w:tcPr>
                <w:p w:rsidR="00F30D30" w:rsidRPr="00E64B35" w:rsidRDefault="00F30D30" w:rsidP="00F30D30">
                  <w:pPr>
                    <w:jc w:val="right"/>
                    <w:rPr>
                      <w:sz w:val="20"/>
                      <w:szCs w:val="20"/>
                    </w:rPr>
                  </w:pPr>
                  <w:r w:rsidRPr="00E64B35">
                    <w:rPr>
                      <w:sz w:val="20"/>
                      <w:szCs w:val="20"/>
                    </w:rPr>
                    <w:t>3.000,00 HRK</w:t>
                  </w:r>
                </w:p>
              </w:tc>
              <w:tc>
                <w:tcPr>
                  <w:tcW w:w="1418" w:type="dxa"/>
                </w:tcPr>
                <w:p w:rsidR="00F30D30" w:rsidRPr="00E64B35" w:rsidRDefault="00F30D30" w:rsidP="00F30D30">
                  <w:pPr>
                    <w:jc w:val="right"/>
                    <w:rPr>
                      <w:sz w:val="20"/>
                      <w:szCs w:val="20"/>
                    </w:rPr>
                  </w:pPr>
                  <w:r w:rsidRPr="00E64B35">
                    <w:rPr>
                      <w:sz w:val="20"/>
                      <w:szCs w:val="20"/>
                    </w:rPr>
                    <w:t>2.000,00 HRK</w:t>
                  </w:r>
                </w:p>
              </w:tc>
            </w:tr>
          </w:tbl>
          <w:p w:rsidR="006535C0" w:rsidRDefault="006535C0" w:rsidP="006535C0">
            <w:pPr>
              <w:rPr>
                <w:b/>
              </w:rPr>
            </w:pPr>
          </w:p>
          <w:p w:rsidR="00F30D30" w:rsidRDefault="00F30D30" w:rsidP="00F30D30">
            <w:pPr>
              <w:pStyle w:val="Default"/>
              <w:rPr>
                <w:sz w:val="23"/>
                <w:szCs w:val="23"/>
              </w:rPr>
            </w:pPr>
            <w:r>
              <w:rPr>
                <w:sz w:val="23"/>
                <w:szCs w:val="23"/>
              </w:rPr>
              <w:t xml:space="preserve">dolazimo do zaključka da postoji prostor za postepeno podizanje cijena parkirališnih mjesta za postavljanje otvorenih terasa kako bi ugostitelji imali dovoljno vremena za prilagodbu novim uvjetima poslovanja. </w:t>
            </w:r>
          </w:p>
          <w:p w:rsidR="00F30D30" w:rsidRDefault="00F30D30" w:rsidP="00F30D30">
            <w:pPr>
              <w:pStyle w:val="Default"/>
              <w:rPr>
                <w:sz w:val="23"/>
                <w:szCs w:val="23"/>
              </w:rPr>
            </w:pPr>
            <w:r>
              <w:rPr>
                <w:sz w:val="23"/>
                <w:szCs w:val="23"/>
              </w:rPr>
              <w:t xml:space="preserve">Ne bježimo od činjenice da postoji prostor za povećanje trenutne cijene parkirališnih mjesta za postavljanje otvorenih terasa, no ono treba biti razmjerno mogućnostima ugostitelja koji na njima posluju. </w:t>
            </w:r>
          </w:p>
          <w:p w:rsidR="00F30D30" w:rsidRDefault="00F30D30" w:rsidP="00F30D30">
            <w:pPr>
              <w:pStyle w:val="Default"/>
              <w:rPr>
                <w:sz w:val="23"/>
                <w:szCs w:val="23"/>
              </w:rPr>
            </w:pPr>
            <w:r>
              <w:rPr>
                <w:sz w:val="23"/>
                <w:szCs w:val="23"/>
              </w:rPr>
              <w:t xml:space="preserve">Također napominjemo da kada se radi o cijenama za postavljanje otvorenih terasa na parkirališna mjesta, sa prihodovne strane proračuna treba uzeti u obzir dodanu vrijednost te multiplikativne efekte koje terase generiraju za isti kroz podizanje potrošnje, stvaranje radnih mjesta, osiguravanje plaća, plaćanje doprinosa, poreza i prireza koje parkirališna mjesta namijenjena parkiranju automobila ne ostvaruju. </w:t>
            </w:r>
          </w:p>
          <w:p w:rsidR="00F30D30" w:rsidRDefault="00F30D30" w:rsidP="00F30D30">
            <w:pPr>
              <w:rPr>
                <w:sz w:val="23"/>
                <w:szCs w:val="23"/>
              </w:rPr>
            </w:pPr>
            <w:r>
              <w:rPr>
                <w:sz w:val="23"/>
                <w:szCs w:val="23"/>
              </w:rPr>
              <w:t xml:space="preserve">Stoga predlažemo postupno podizanje cijena za postavljanje terasa na parkirališnim mjestima kroz 3-5 godina kako bi ugostitelji mogli prilagoditi poslovanje novim uvjetima. </w:t>
            </w:r>
          </w:p>
          <w:p w:rsidR="00F30D30" w:rsidRPr="001A201B" w:rsidRDefault="00F30D30" w:rsidP="00F30D30">
            <w:pPr>
              <w:rPr>
                <w:b/>
              </w:rPr>
            </w:pPr>
          </w:p>
        </w:tc>
        <w:tc>
          <w:tcPr>
            <w:tcW w:w="3827" w:type="dxa"/>
            <w:tcBorders>
              <w:top w:val="thinThickSmallGap" w:sz="24" w:space="0" w:color="auto"/>
              <w:bottom w:val="thinThickSmallGap" w:sz="24" w:space="0" w:color="auto"/>
              <w:right w:val="thinThickSmallGap" w:sz="24" w:space="0" w:color="auto"/>
            </w:tcBorders>
            <w:shd w:val="clear" w:color="auto" w:fill="auto"/>
          </w:tcPr>
          <w:p w:rsidR="006A6ED5" w:rsidRDefault="006A6ED5" w:rsidP="00A671A0">
            <w:pPr>
              <w:jc w:val="center"/>
            </w:pPr>
          </w:p>
          <w:p w:rsidR="003B0135" w:rsidRDefault="006A6ED5" w:rsidP="003B0135">
            <w:r>
              <w:t xml:space="preserve">Primjedba se djelomično prihvaća na način da se propisuje </w:t>
            </w:r>
            <w:r w:rsidR="003B0135">
              <w:t xml:space="preserve">da se </w:t>
            </w:r>
            <w:r w:rsidR="003B0135" w:rsidRPr="00446FB9">
              <w:t xml:space="preserve">naknada </w:t>
            </w:r>
            <w:r w:rsidR="003B0135" w:rsidRPr="00C84572">
              <w:t>za postavljanje otvorene terase na parkirališnim mjestima</w:t>
            </w:r>
            <w:r w:rsidR="003B0135" w:rsidRPr="00446FB9">
              <w:t xml:space="preserve"> </w:t>
            </w:r>
            <w:r w:rsidR="003B0135">
              <w:t>za</w:t>
            </w:r>
            <w:r w:rsidR="003B0135" w:rsidRPr="00446FB9">
              <w:t xml:space="preserve"> 2023.</w:t>
            </w:r>
            <w:r w:rsidR="003B0135">
              <w:t xml:space="preserve"> godinu </w:t>
            </w:r>
            <w:r w:rsidR="003B0135" w:rsidRPr="00446FB9">
              <w:t>umanjuje za 50 %</w:t>
            </w:r>
            <w:r w:rsidR="003B0135">
              <w:t xml:space="preserve">, </w:t>
            </w:r>
            <w:r w:rsidR="003B0135" w:rsidRPr="003B0135">
              <w:t>a za svaku sljedeću godinu naknada se određuje u cjelokupnom iznosu naknade za neposrednu dodjelu rezerviranih parkirališnih mjesta po pojedinoj zoni u kojoj se rezervirano parkirališno mjesto nalazi</w:t>
            </w:r>
            <w:r w:rsidR="003B0135">
              <w:t>.</w:t>
            </w:r>
          </w:p>
          <w:p w:rsidR="003B0135" w:rsidRDefault="003B0135" w:rsidP="00A671A0">
            <w:pPr>
              <w:jc w:val="center"/>
            </w:pPr>
          </w:p>
          <w:p w:rsidR="003B0135" w:rsidRDefault="003B0135" w:rsidP="00A671A0">
            <w:pPr>
              <w:jc w:val="center"/>
            </w:pPr>
          </w:p>
          <w:p w:rsidR="003B0135" w:rsidRDefault="003B0135" w:rsidP="00A671A0">
            <w:pPr>
              <w:jc w:val="center"/>
            </w:pPr>
          </w:p>
          <w:p w:rsidR="006535C0" w:rsidRDefault="006535C0" w:rsidP="00A671A0">
            <w:pPr>
              <w:jc w:val="center"/>
            </w:pPr>
          </w:p>
        </w:tc>
      </w:tr>
      <w:tr w:rsidR="00F30D30" w:rsidRPr="009C7DF1" w:rsidTr="00F30D30">
        <w:trPr>
          <w:trHeight w:val="1887"/>
        </w:trPr>
        <w:tc>
          <w:tcPr>
            <w:tcW w:w="710" w:type="dxa"/>
            <w:tcBorders>
              <w:top w:val="thinThickSmallGap" w:sz="24" w:space="0" w:color="auto"/>
              <w:left w:val="thinThickSmallGap" w:sz="24" w:space="0" w:color="auto"/>
            </w:tcBorders>
            <w:shd w:val="clear" w:color="auto" w:fill="auto"/>
            <w:vAlign w:val="center"/>
          </w:tcPr>
          <w:p w:rsidR="00F30D30" w:rsidRDefault="00F30D30" w:rsidP="00C176A4">
            <w:pPr>
              <w:jc w:val="center"/>
            </w:pPr>
            <w:r>
              <w:lastRenderedPageBreak/>
              <w:t>3.</w:t>
            </w:r>
          </w:p>
        </w:tc>
        <w:tc>
          <w:tcPr>
            <w:tcW w:w="1559" w:type="dxa"/>
            <w:tcBorders>
              <w:top w:val="thinThickSmallGap" w:sz="24" w:space="0" w:color="auto"/>
            </w:tcBorders>
            <w:shd w:val="clear" w:color="auto" w:fill="auto"/>
            <w:vAlign w:val="center"/>
          </w:tcPr>
          <w:p w:rsidR="00F30D30" w:rsidRDefault="00F30D30" w:rsidP="00F30D30">
            <w:r>
              <w:t>D.H.</w:t>
            </w:r>
          </w:p>
        </w:tc>
        <w:tc>
          <w:tcPr>
            <w:tcW w:w="1417" w:type="dxa"/>
            <w:tcBorders>
              <w:top w:val="thinThickSmallGap" w:sz="24" w:space="0" w:color="auto"/>
            </w:tcBorders>
            <w:shd w:val="clear" w:color="auto" w:fill="auto"/>
            <w:vAlign w:val="center"/>
          </w:tcPr>
          <w:p w:rsidR="00F30D30" w:rsidRDefault="00F30D30" w:rsidP="002224BE">
            <w:pPr>
              <w:rPr>
                <w:b/>
              </w:rPr>
            </w:pPr>
            <w:r>
              <w:rPr>
                <w:b/>
              </w:rPr>
              <w:t>Članak 3.</w:t>
            </w:r>
          </w:p>
        </w:tc>
        <w:tc>
          <w:tcPr>
            <w:tcW w:w="6379" w:type="dxa"/>
            <w:tcBorders>
              <w:top w:val="thinThickSmallGap" w:sz="24" w:space="0" w:color="auto"/>
            </w:tcBorders>
            <w:shd w:val="clear" w:color="auto" w:fill="auto"/>
            <w:vAlign w:val="center"/>
          </w:tcPr>
          <w:p w:rsidR="00F30D30" w:rsidRDefault="00F30D30" w:rsidP="00F30D30">
            <w:pPr>
              <w:pStyle w:val="Default"/>
              <w:rPr>
                <w:sz w:val="23"/>
                <w:szCs w:val="23"/>
              </w:rPr>
            </w:pPr>
          </w:p>
          <w:p w:rsidR="00F30D30" w:rsidRPr="00F30D30" w:rsidRDefault="00F30D30" w:rsidP="00F30D30">
            <w:pPr>
              <w:pStyle w:val="Default"/>
              <w:rPr>
                <w:sz w:val="23"/>
                <w:szCs w:val="23"/>
              </w:rPr>
            </w:pPr>
            <w:r w:rsidRPr="00F30D30">
              <w:rPr>
                <w:sz w:val="23"/>
                <w:szCs w:val="23"/>
              </w:rPr>
              <w:t xml:space="preserve">Podnosim primjedbe na to da se naknada za postavljanje otvorene terase na parkirališnim mjestima određuje u iznosu visine mjesečne naknade za neposrednu dodjelu rezerviranih parkirališnih mjesta po pojedinoj zoni u kojoj se rezervirano parkirališno mjesto nalazi sukladno propisima kojima se uređuju rezervirana parkirališna mjesta. Nikako se te dvije kategorije ne mogu izjednačiti, jer parkirališta, koja ionako zjape prazna u ljetnim mjesecima, ne koriste se toliko koliko bi opravdala njihovo korištenje u gospodarske svrhe. Time se dodatno zapošljavaju sezonski radnici, na prihodovnoj strani Grad Zagreb i država imaju višestruke porezne koristi od poslovanja ugostitelja, kojima je na taj način i omogućeno da opstanu i posluju u ljetnim </w:t>
            </w:r>
            <w:r w:rsidRPr="00F30D30">
              <w:rPr>
                <w:sz w:val="23"/>
                <w:szCs w:val="23"/>
              </w:rPr>
              <w:lastRenderedPageBreak/>
              <w:t>mjesecima kad ionako svi žele biti vani i sjediti na otvorenom. Ova izmjena cijene ne omogućava egzistenciju ugostiteljima, nakon pandemije i pogođeni krizom zbog rata u Ukrajini i svih drugih nedaća koje su se prelile i na naše društvo(poskupljenje robe, energenata i sl.). Cijena po zonama za korištenje parkirnih mjesta za ugostitelje trebala bi biti itekako realnija od ponuđene, koja premašuje razumne okvire. A proklamiranjem širenja pješačkih zona, uvođenjem zelenih oaza (drvoreda itd.), širenjem biciklističkih staza, uvažavajući turističku poziciju i prezentaciju Zagreba, ugostiteljstvu bi se trebalo omogućiti cijena puno realnija (niža) od predložene , a nikako povećanja koja se predlažu za I zonu:895,86%, za II zonu:797,87% i za III zonu:680,85%</w:t>
            </w:r>
          </w:p>
          <w:p w:rsidR="00F30D30" w:rsidRDefault="00F30D30" w:rsidP="00F30D30">
            <w:pPr>
              <w:pStyle w:val="Default"/>
              <w:rPr>
                <w:sz w:val="23"/>
                <w:szCs w:val="23"/>
              </w:rPr>
            </w:pPr>
            <w:r w:rsidRPr="00F30D30">
              <w:rPr>
                <w:sz w:val="23"/>
                <w:szCs w:val="23"/>
              </w:rPr>
              <w:t xml:space="preserve">Predlažem da se ovakvo poskupljenje odgodi, te  u dogovoru s ugostiteljima i službama Grada postigne suglasje o visini naknade za korištenje javne </w:t>
            </w:r>
            <w:proofErr w:type="spellStart"/>
            <w:r w:rsidRPr="00F30D30">
              <w:rPr>
                <w:sz w:val="23"/>
                <w:szCs w:val="23"/>
              </w:rPr>
              <w:t>povrine</w:t>
            </w:r>
            <w:proofErr w:type="spellEnd"/>
            <w:r w:rsidRPr="00F30D30">
              <w:rPr>
                <w:sz w:val="23"/>
                <w:szCs w:val="23"/>
              </w:rPr>
              <w:t xml:space="preserve"> koja će biti realnija i primjerenija vremenu i uvjetima u kojima živimo, te da vrijeme prilagodbe bude puno duže, s obzirom na sve rečeno što nas muči.</w:t>
            </w:r>
          </w:p>
          <w:p w:rsidR="00F30D30" w:rsidRDefault="00F30D30" w:rsidP="00F30D30">
            <w:pPr>
              <w:pStyle w:val="Default"/>
              <w:rPr>
                <w:sz w:val="23"/>
                <w:szCs w:val="23"/>
              </w:rPr>
            </w:pPr>
          </w:p>
        </w:tc>
        <w:tc>
          <w:tcPr>
            <w:tcW w:w="3827" w:type="dxa"/>
            <w:tcBorders>
              <w:top w:val="thinThickSmallGap" w:sz="24" w:space="0" w:color="auto"/>
              <w:right w:val="thinThickSmallGap" w:sz="24" w:space="0" w:color="auto"/>
            </w:tcBorders>
            <w:shd w:val="clear" w:color="auto" w:fill="auto"/>
          </w:tcPr>
          <w:p w:rsidR="00F30D30" w:rsidRDefault="00F30D30" w:rsidP="003B0135"/>
          <w:p w:rsidR="006A6ED5" w:rsidRDefault="003B0135" w:rsidP="003B0135">
            <w:r>
              <w:t xml:space="preserve">Primjedba se djelomično prihvaća na način kako je navedeno pod rednim brojem 2. </w:t>
            </w:r>
          </w:p>
        </w:tc>
      </w:tr>
    </w:tbl>
    <w:p w:rsidR="0021407F" w:rsidRPr="009C7DF1" w:rsidRDefault="0021407F" w:rsidP="0019746E"/>
    <w:sectPr w:rsidR="0021407F" w:rsidRPr="009C7DF1" w:rsidSect="006535C0">
      <w:footerReference w:type="default" r:id="rId8"/>
      <w:pgSz w:w="16838" w:h="11906" w:orient="landscape"/>
      <w:pgMar w:top="851" w:right="1079" w:bottom="709" w:left="1417" w:header="708" w:footer="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2C05" w:rsidRDefault="00512C05" w:rsidP="00A95FA0">
      <w:r>
        <w:separator/>
      </w:r>
    </w:p>
  </w:endnote>
  <w:endnote w:type="continuationSeparator" w:id="0">
    <w:p w:rsidR="00512C05" w:rsidRDefault="00512C05" w:rsidP="00A95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7103350"/>
      <w:docPartObj>
        <w:docPartGallery w:val="Page Numbers (Bottom of Page)"/>
        <w:docPartUnique/>
      </w:docPartObj>
    </w:sdtPr>
    <w:sdtEndPr>
      <w:rPr>
        <w:noProof/>
      </w:rPr>
    </w:sdtEndPr>
    <w:sdtContent>
      <w:p w:rsidR="00F2635F" w:rsidRDefault="00F263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2635F" w:rsidRDefault="00F26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2C05" w:rsidRDefault="00512C05" w:rsidP="00A95FA0">
      <w:r>
        <w:separator/>
      </w:r>
    </w:p>
  </w:footnote>
  <w:footnote w:type="continuationSeparator" w:id="0">
    <w:p w:rsidR="00512C05" w:rsidRDefault="00512C05" w:rsidP="00A95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839C7"/>
    <w:multiLevelType w:val="multilevel"/>
    <w:tmpl w:val="7FFA2F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E3F3195"/>
    <w:multiLevelType w:val="hybridMultilevel"/>
    <w:tmpl w:val="E96689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1A7F3067"/>
    <w:multiLevelType w:val="hybridMultilevel"/>
    <w:tmpl w:val="654207A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225B3D48"/>
    <w:multiLevelType w:val="hybridMultilevel"/>
    <w:tmpl w:val="0994E5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0654065"/>
    <w:multiLevelType w:val="hybridMultilevel"/>
    <w:tmpl w:val="358CBA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B136129"/>
    <w:multiLevelType w:val="hybridMultilevel"/>
    <w:tmpl w:val="D762562A"/>
    <w:lvl w:ilvl="0" w:tplc="653E8A8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3A046A4"/>
    <w:multiLevelType w:val="hybridMultilevel"/>
    <w:tmpl w:val="9E36EC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11F129C"/>
    <w:multiLevelType w:val="multilevel"/>
    <w:tmpl w:val="278A2F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368"/>
    <w:rsid w:val="00000F9A"/>
    <w:rsid w:val="0001640F"/>
    <w:rsid w:val="0005003D"/>
    <w:rsid w:val="000539B8"/>
    <w:rsid w:val="00055182"/>
    <w:rsid w:val="000B52A1"/>
    <w:rsid w:val="000D7076"/>
    <w:rsid w:val="001110A7"/>
    <w:rsid w:val="00136C81"/>
    <w:rsid w:val="0019746E"/>
    <w:rsid w:val="001D20E3"/>
    <w:rsid w:val="001E6D9D"/>
    <w:rsid w:val="001F3156"/>
    <w:rsid w:val="0021407F"/>
    <w:rsid w:val="002224BE"/>
    <w:rsid w:val="00274ADC"/>
    <w:rsid w:val="002E7103"/>
    <w:rsid w:val="00313306"/>
    <w:rsid w:val="00314004"/>
    <w:rsid w:val="0034407F"/>
    <w:rsid w:val="00362C40"/>
    <w:rsid w:val="003847C5"/>
    <w:rsid w:val="003B0135"/>
    <w:rsid w:val="003B5846"/>
    <w:rsid w:val="003F0528"/>
    <w:rsid w:val="003F254E"/>
    <w:rsid w:val="00423E43"/>
    <w:rsid w:val="00485374"/>
    <w:rsid w:val="00487368"/>
    <w:rsid w:val="0050098D"/>
    <w:rsid w:val="00512C05"/>
    <w:rsid w:val="0055305A"/>
    <w:rsid w:val="005A4E3C"/>
    <w:rsid w:val="005B4344"/>
    <w:rsid w:val="005E6AB3"/>
    <w:rsid w:val="0060050D"/>
    <w:rsid w:val="00607107"/>
    <w:rsid w:val="006535C0"/>
    <w:rsid w:val="00665E6D"/>
    <w:rsid w:val="00686A12"/>
    <w:rsid w:val="006A6ED5"/>
    <w:rsid w:val="006F11E7"/>
    <w:rsid w:val="00706885"/>
    <w:rsid w:val="00713078"/>
    <w:rsid w:val="00776E40"/>
    <w:rsid w:val="007D48FF"/>
    <w:rsid w:val="0080015B"/>
    <w:rsid w:val="00866B19"/>
    <w:rsid w:val="008F2057"/>
    <w:rsid w:val="008F6F4E"/>
    <w:rsid w:val="009309B0"/>
    <w:rsid w:val="00983BB4"/>
    <w:rsid w:val="009A5822"/>
    <w:rsid w:val="009B6CE1"/>
    <w:rsid w:val="009C7DF1"/>
    <w:rsid w:val="009D6076"/>
    <w:rsid w:val="00A671A0"/>
    <w:rsid w:val="00A95FA0"/>
    <w:rsid w:val="00AB3A5B"/>
    <w:rsid w:val="00AC297B"/>
    <w:rsid w:val="00AE41B0"/>
    <w:rsid w:val="00AF65B2"/>
    <w:rsid w:val="00B25E46"/>
    <w:rsid w:val="00B26DF5"/>
    <w:rsid w:val="00B801C5"/>
    <w:rsid w:val="00B85EEF"/>
    <w:rsid w:val="00C176A4"/>
    <w:rsid w:val="00C97EB5"/>
    <w:rsid w:val="00CE757E"/>
    <w:rsid w:val="00D36A6C"/>
    <w:rsid w:val="00D46F12"/>
    <w:rsid w:val="00D608D5"/>
    <w:rsid w:val="00DB57D0"/>
    <w:rsid w:val="00DF36C3"/>
    <w:rsid w:val="00E00812"/>
    <w:rsid w:val="00E009E5"/>
    <w:rsid w:val="00E449B5"/>
    <w:rsid w:val="00F20A9D"/>
    <w:rsid w:val="00F2635F"/>
    <w:rsid w:val="00F30D30"/>
    <w:rsid w:val="00F451A0"/>
    <w:rsid w:val="00F56A62"/>
    <w:rsid w:val="00FB004A"/>
    <w:rsid w:val="00FC4320"/>
    <w:rsid w:val="00FF782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2263A2C"/>
  <w15:chartTrackingRefBased/>
  <w15:docId w15:val="{8497CE5D-263C-406C-9AB4-90A54067B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736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36A6C"/>
    <w:pPr>
      <w:autoSpaceDE w:val="0"/>
      <w:autoSpaceDN w:val="0"/>
      <w:adjustRightInd w:val="0"/>
    </w:pPr>
    <w:rPr>
      <w:color w:val="000000"/>
      <w:sz w:val="24"/>
      <w:szCs w:val="24"/>
    </w:rPr>
  </w:style>
  <w:style w:type="paragraph" w:customStyle="1" w:styleId="Standard">
    <w:name w:val="Standard"/>
    <w:rsid w:val="008F6F4E"/>
    <w:pPr>
      <w:suppressAutoHyphens/>
      <w:autoSpaceDN w:val="0"/>
    </w:pPr>
    <w:rPr>
      <w:sz w:val="24"/>
      <w:szCs w:val="24"/>
    </w:rPr>
  </w:style>
  <w:style w:type="paragraph" w:styleId="Header">
    <w:name w:val="header"/>
    <w:basedOn w:val="Normal"/>
    <w:link w:val="HeaderChar"/>
    <w:rsid w:val="00A95FA0"/>
    <w:pPr>
      <w:tabs>
        <w:tab w:val="center" w:pos="4536"/>
        <w:tab w:val="right" w:pos="9072"/>
      </w:tabs>
    </w:pPr>
  </w:style>
  <w:style w:type="character" w:customStyle="1" w:styleId="HeaderChar">
    <w:name w:val="Header Char"/>
    <w:basedOn w:val="DefaultParagraphFont"/>
    <w:link w:val="Header"/>
    <w:rsid w:val="00A95FA0"/>
    <w:rPr>
      <w:sz w:val="24"/>
      <w:szCs w:val="24"/>
    </w:rPr>
  </w:style>
  <w:style w:type="paragraph" w:styleId="Footer">
    <w:name w:val="footer"/>
    <w:basedOn w:val="Normal"/>
    <w:link w:val="FooterChar"/>
    <w:uiPriority w:val="99"/>
    <w:rsid w:val="00A95FA0"/>
    <w:pPr>
      <w:tabs>
        <w:tab w:val="center" w:pos="4536"/>
        <w:tab w:val="right" w:pos="9072"/>
      </w:tabs>
    </w:pPr>
  </w:style>
  <w:style w:type="character" w:customStyle="1" w:styleId="FooterChar">
    <w:name w:val="Footer Char"/>
    <w:basedOn w:val="DefaultParagraphFont"/>
    <w:link w:val="Footer"/>
    <w:uiPriority w:val="99"/>
    <w:rsid w:val="00A95FA0"/>
    <w:rPr>
      <w:sz w:val="24"/>
      <w:szCs w:val="24"/>
    </w:rPr>
  </w:style>
  <w:style w:type="paragraph" w:styleId="BalloonText">
    <w:name w:val="Balloon Text"/>
    <w:basedOn w:val="Normal"/>
    <w:link w:val="BalloonTextChar"/>
    <w:rsid w:val="00A95FA0"/>
    <w:rPr>
      <w:rFonts w:ascii="Segoe UI" w:hAnsi="Segoe UI" w:cs="Segoe UI"/>
      <w:sz w:val="18"/>
      <w:szCs w:val="18"/>
    </w:rPr>
  </w:style>
  <w:style w:type="character" w:customStyle="1" w:styleId="BalloonTextChar">
    <w:name w:val="Balloon Text Char"/>
    <w:basedOn w:val="DefaultParagraphFont"/>
    <w:link w:val="BalloonText"/>
    <w:rsid w:val="00A95FA0"/>
    <w:rPr>
      <w:rFonts w:ascii="Segoe UI" w:hAnsi="Segoe UI" w:cs="Segoe UI"/>
      <w:sz w:val="18"/>
      <w:szCs w:val="18"/>
    </w:rPr>
  </w:style>
  <w:style w:type="paragraph" w:styleId="NormalWeb">
    <w:name w:val="Normal (Web)"/>
    <w:basedOn w:val="Normal"/>
    <w:uiPriority w:val="99"/>
    <w:unhideWhenUsed/>
    <w:rsid w:val="00F451A0"/>
    <w:pPr>
      <w:spacing w:before="100" w:beforeAutospacing="1" w:after="100" w:afterAutospacing="1"/>
    </w:pPr>
    <w:rPr>
      <w:lang w:val="en-US" w:eastAsia="en-US"/>
    </w:rPr>
  </w:style>
  <w:style w:type="character" w:styleId="Hyperlink">
    <w:name w:val="Hyperlink"/>
    <w:basedOn w:val="DefaultParagraphFont"/>
    <w:unhideWhenUsed/>
    <w:rsid w:val="00686A12"/>
    <w:rPr>
      <w:color w:val="0563C1" w:themeColor="hyperlink"/>
      <w:u w:val="single"/>
    </w:rPr>
  </w:style>
  <w:style w:type="paragraph" w:styleId="ListParagraph">
    <w:name w:val="List Paragraph"/>
    <w:basedOn w:val="Normal"/>
    <w:uiPriority w:val="34"/>
    <w:qFormat/>
    <w:rsid w:val="00686A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10143">
      <w:bodyDiv w:val="1"/>
      <w:marLeft w:val="0"/>
      <w:marRight w:val="0"/>
      <w:marTop w:val="0"/>
      <w:marBottom w:val="0"/>
      <w:divBdr>
        <w:top w:val="none" w:sz="0" w:space="0" w:color="auto"/>
        <w:left w:val="none" w:sz="0" w:space="0" w:color="auto"/>
        <w:bottom w:val="none" w:sz="0" w:space="0" w:color="auto"/>
        <w:right w:val="none" w:sz="0" w:space="0" w:color="auto"/>
      </w:divBdr>
    </w:div>
    <w:div w:id="235478020">
      <w:bodyDiv w:val="1"/>
      <w:marLeft w:val="0"/>
      <w:marRight w:val="0"/>
      <w:marTop w:val="0"/>
      <w:marBottom w:val="0"/>
      <w:divBdr>
        <w:top w:val="none" w:sz="0" w:space="0" w:color="auto"/>
        <w:left w:val="none" w:sz="0" w:space="0" w:color="auto"/>
        <w:bottom w:val="none" w:sz="0" w:space="0" w:color="auto"/>
        <w:right w:val="none" w:sz="0" w:space="0" w:color="auto"/>
      </w:divBdr>
    </w:div>
    <w:div w:id="816648953">
      <w:bodyDiv w:val="1"/>
      <w:marLeft w:val="0"/>
      <w:marRight w:val="0"/>
      <w:marTop w:val="0"/>
      <w:marBottom w:val="0"/>
      <w:divBdr>
        <w:top w:val="none" w:sz="0" w:space="0" w:color="auto"/>
        <w:left w:val="none" w:sz="0" w:space="0" w:color="auto"/>
        <w:bottom w:val="none" w:sz="0" w:space="0" w:color="auto"/>
        <w:right w:val="none" w:sz="0" w:space="0" w:color="auto"/>
      </w:divBdr>
    </w:div>
    <w:div w:id="1045905204">
      <w:bodyDiv w:val="1"/>
      <w:marLeft w:val="0"/>
      <w:marRight w:val="0"/>
      <w:marTop w:val="0"/>
      <w:marBottom w:val="0"/>
      <w:divBdr>
        <w:top w:val="none" w:sz="0" w:space="0" w:color="auto"/>
        <w:left w:val="none" w:sz="0" w:space="0" w:color="auto"/>
        <w:bottom w:val="none" w:sz="0" w:space="0" w:color="auto"/>
        <w:right w:val="none" w:sz="0" w:space="0" w:color="auto"/>
      </w:divBdr>
    </w:div>
    <w:div w:id="1147631167">
      <w:bodyDiv w:val="1"/>
      <w:marLeft w:val="0"/>
      <w:marRight w:val="0"/>
      <w:marTop w:val="0"/>
      <w:marBottom w:val="0"/>
      <w:divBdr>
        <w:top w:val="none" w:sz="0" w:space="0" w:color="auto"/>
        <w:left w:val="none" w:sz="0" w:space="0" w:color="auto"/>
        <w:bottom w:val="none" w:sz="0" w:space="0" w:color="auto"/>
        <w:right w:val="none" w:sz="0" w:space="0" w:color="auto"/>
      </w:divBdr>
    </w:div>
    <w:div w:id="1427926422">
      <w:bodyDiv w:val="1"/>
      <w:marLeft w:val="0"/>
      <w:marRight w:val="0"/>
      <w:marTop w:val="0"/>
      <w:marBottom w:val="0"/>
      <w:divBdr>
        <w:top w:val="none" w:sz="0" w:space="0" w:color="auto"/>
        <w:left w:val="none" w:sz="0" w:space="0" w:color="auto"/>
        <w:bottom w:val="none" w:sz="0" w:space="0" w:color="auto"/>
        <w:right w:val="none" w:sz="0" w:space="0" w:color="auto"/>
      </w:divBdr>
    </w:div>
    <w:div w:id="1502547995">
      <w:bodyDiv w:val="1"/>
      <w:marLeft w:val="0"/>
      <w:marRight w:val="0"/>
      <w:marTop w:val="0"/>
      <w:marBottom w:val="0"/>
      <w:divBdr>
        <w:top w:val="none" w:sz="0" w:space="0" w:color="auto"/>
        <w:left w:val="none" w:sz="0" w:space="0" w:color="auto"/>
        <w:bottom w:val="none" w:sz="0" w:space="0" w:color="auto"/>
        <w:right w:val="none" w:sz="0" w:space="0" w:color="auto"/>
      </w:divBdr>
    </w:div>
    <w:div w:id="1588152503">
      <w:bodyDiv w:val="1"/>
      <w:marLeft w:val="0"/>
      <w:marRight w:val="0"/>
      <w:marTop w:val="0"/>
      <w:marBottom w:val="0"/>
      <w:divBdr>
        <w:top w:val="none" w:sz="0" w:space="0" w:color="auto"/>
        <w:left w:val="none" w:sz="0" w:space="0" w:color="auto"/>
        <w:bottom w:val="none" w:sz="0" w:space="0" w:color="auto"/>
        <w:right w:val="none" w:sz="0" w:space="0" w:color="auto"/>
      </w:divBdr>
    </w:div>
    <w:div w:id="1653871351">
      <w:bodyDiv w:val="1"/>
      <w:marLeft w:val="0"/>
      <w:marRight w:val="0"/>
      <w:marTop w:val="0"/>
      <w:marBottom w:val="0"/>
      <w:divBdr>
        <w:top w:val="none" w:sz="0" w:space="0" w:color="auto"/>
        <w:left w:val="none" w:sz="0" w:space="0" w:color="auto"/>
        <w:bottom w:val="none" w:sz="0" w:space="0" w:color="auto"/>
        <w:right w:val="none" w:sz="0" w:space="0" w:color="auto"/>
      </w:divBdr>
    </w:div>
    <w:div w:id="1712028268">
      <w:bodyDiv w:val="1"/>
      <w:marLeft w:val="0"/>
      <w:marRight w:val="0"/>
      <w:marTop w:val="0"/>
      <w:marBottom w:val="0"/>
      <w:divBdr>
        <w:top w:val="none" w:sz="0" w:space="0" w:color="auto"/>
        <w:left w:val="none" w:sz="0" w:space="0" w:color="auto"/>
        <w:bottom w:val="none" w:sz="0" w:space="0" w:color="auto"/>
        <w:right w:val="none" w:sz="0" w:space="0" w:color="auto"/>
      </w:divBdr>
    </w:div>
    <w:div w:id="1714503291">
      <w:bodyDiv w:val="1"/>
      <w:marLeft w:val="0"/>
      <w:marRight w:val="0"/>
      <w:marTop w:val="0"/>
      <w:marBottom w:val="0"/>
      <w:divBdr>
        <w:top w:val="none" w:sz="0" w:space="0" w:color="auto"/>
        <w:left w:val="none" w:sz="0" w:space="0" w:color="auto"/>
        <w:bottom w:val="none" w:sz="0" w:space="0" w:color="auto"/>
        <w:right w:val="none" w:sz="0" w:space="0" w:color="auto"/>
      </w:divBdr>
    </w:div>
    <w:div w:id="1926838001">
      <w:bodyDiv w:val="1"/>
      <w:marLeft w:val="0"/>
      <w:marRight w:val="0"/>
      <w:marTop w:val="0"/>
      <w:marBottom w:val="0"/>
      <w:divBdr>
        <w:top w:val="none" w:sz="0" w:space="0" w:color="auto"/>
        <w:left w:val="none" w:sz="0" w:space="0" w:color="auto"/>
        <w:bottom w:val="none" w:sz="0" w:space="0" w:color="auto"/>
        <w:right w:val="none" w:sz="0" w:space="0" w:color="auto"/>
      </w:divBdr>
    </w:div>
    <w:div w:id="1957374052">
      <w:bodyDiv w:val="1"/>
      <w:marLeft w:val="0"/>
      <w:marRight w:val="0"/>
      <w:marTop w:val="0"/>
      <w:marBottom w:val="0"/>
      <w:divBdr>
        <w:top w:val="none" w:sz="0" w:space="0" w:color="auto"/>
        <w:left w:val="none" w:sz="0" w:space="0" w:color="auto"/>
        <w:bottom w:val="none" w:sz="0" w:space="0" w:color="auto"/>
        <w:right w:val="none" w:sz="0" w:space="0" w:color="auto"/>
      </w:divBdr>
    </w:div>
    <w:div w:id="205450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71438-C8BD-4452-B310-FDAB6515B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5</Pages>
  <Words>1271</Words>
  <Characters>7875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OBRAZAC</vt:lpstr>
    </vt:vector>
  </TitlesOfParts>
  <Company>Grad Zagreb</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dc:title>
  <dc:subject/>
  <dc:creator>azenko</dc:creator>
  <cp:keywords/>
  <cp:lastModifiedBy>Maja Kordić</cp:lastModifiedBy>
  <cp:revision>23</cp:revision>
  <cp:lastPrinted>2022-11-15T08:54:00Z</cp:lastPrinted>
  <dcterms:created xsi:type="dcterms:W3CDTF">2021-08-16T13:39:00Z</dcterms:created>
  <dcterms:modified xsi:type="dcterms:W3CDTF">2022-12-13T11:53:00Z</dcterms:modified>
</cp:coreProperties>
</file>